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olor w:val="000000"/>
          <w:sz w:val="18"/>
        </w:rPr>
      </w:pPr>
    </w:p>
    <w:p>
      <w:pPr>
        <w:jc w:val="left"/>
        <w:rPr>
          <w:rFonts w:ascii="黑体" w:hAnsi="黑体" w:eastAsia="黑体"/>
          <w:b/>
          <w:color w:val="000000"/>
          <w:sz w:val="48"/>
          <w:szCs w:val="48"/>
        </w:rPr>
      </w:pPr>
    </w:p>
    <w:p>
      <w:pPr>
        <w:jc w:val="left"/>
        <w:rPr>
          <w:rFonts w:ascii="黑体" w:hAnsi="黑体" w:eastAsia="黑体"/>
          <w:b/>
          <w:color w:val="000000"/>
          <w:sz w:val="36"/>
          <w:szCs w:val="36"/>
        </w:rPr>
      </w:pPr>
    </w:p>
    <w:p>
      <w:pPr>
        <w:jc w:val="center"/>
        <w:rPr>
          <w:rFonts w:ascii="黑体" w:hAnsi="黑体" w:eastAsia="黑体"/>
          <w:b/>
          <w:color w:val="000000"/>
          <w:sz w:val="72"/>
          <w:szCs w:val="72"/>
        </w:rPr>
      </w:pPr>
      <w:r>
        <w:rPr>
          <w:rFonts w:hint="eastAsia" w:ascii="黑体" w:hAnsi="黑体" w:eastAsia="黑体"/>
          <w:b/>
          <w:color w:val="000000"/>
          <w:sz w:val="72"/>
          <w:szCs w:val="72"/>
          <w:lang w:eastAsia="zh-CN"/>
        </w:rPr>
        <w:t>赤峰鼎好职业技术</w:t>
      </w:r>
      <w:r>
        <w:rPr>
          <w:rFonts w:hint="eastAsia" w:ascii="黑体" w:hAnsi="黑体" w:eastAsia="黑体"/>
          <w:b/>
          <w:color w:val="000000"/>
          <w:sz w:val="72"/>
          <w:szCs w:val="72"/>
        </w:rPr>
        <w:t>学校</w:t>
      </w:r>
    </w:p>
    <w:p>
      <w:pPr>
        <w:jc w:val="center"/>
        <w:rPr>
          <w:rFonts w:ascii="黑体" w:hAnsi="黑体" w:eastAsia="黑体"/>
          <w:b/>
          <w:color w:val="000000"/>
          <w:sz w:val="44"/>
          <w:szCs w:val="44"/>
        </w:rPr>
      </w:pPr>
    </w:p>
    <w:p>
      <w:pPr>
        <w:jc w:val="center"/>
        <w:rPr>
          <w:rFonts w:ascii="黑体" w:hAnsi="黑体" w:eastAsia="黑体"/>
          <w:b/>
          <w:color w:val="000000"/>
          <w:sz w:val="96"/>
          <w:szCs w:val="96"/>
        </w:rPr>
      </w:pPr>
      <w:r>
        <w:rPr>
          <w:rFonts w:hint="eastAsia" w:ascii="黑体" w:hAnsi="黑体" w:eastAsia="黑体"/>
          <w:b/>
          <w:color w:val="000000"/>
          <w:sz w:val="96"/>
          <w:szCs w:val="96"/>
          <w:lang w:eastAsia="zh-CN"/>
        </w:rPr>
        <w:t>教育</w:t>
      </w:r>
      <w:r>
        <w:rPr>
          <w:rFonts w:hint="eastAsia" w:ascii="黑体" w:hAnsi="黑体" w:eastAsia="黑体"/>
          <w:b/>
          <w:color w:val="000000"/>
          <w:sz w:val="96"/>
          <w:szCs w:val="96"/>
        </w:rPr>
        <w:t>质量年度报告</w:t>
      </w: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center"/>
        <w:rPr>
          <w:rFonts w:eastAsia="黑体"/>
          <w:color w:val="000000"/>
          <w:sz w:val="72"/>
          <w:szCs w:val="72"/>
        </w:rPr>
      </w:pPr>
      <w:r>
        <w:rPr>
          <w:rFonts w:hint="eastAsia" w:eastAsia="黑体"/>
          <w:color w:val="000000"/>
          <w:sz w:val="72"/>
          <w:szCs w:val="72"/>
        </w:rPr>
        <w:t>（</w:t>
      </w:r>
      <w:r>
        <w:rPr>
          <w:rFonts w:eastAsia="黑体"/>
          <w:color w:val="000000"/>
          <w:sz w:val="72"/>
          <w:szCs w:val="72"/>
        </w:rPr>
        <w:t>20</w:t>
      </w:r>
      <w:r>
        <w:rPr>
          <w:rFonts w:hint="eastAsia" w:eastAsia="黑体"/>
          <w:color w:val="000000"/>
          <w:sz w:val="72"/>
          <w:szCs w:val="72"/>
          <w:lang w:val="en-US" w:eastAsia="zh-CN"/>
        </w:rPr>
        <w:t>21</w:t>
      </w:r>
      <w:r>
        <w:rPr>
          <w:rFonts w:hint="eastAsia" w:eastAsia="黑体"/>
          <w:color w:val="000000"/>
          <w:sz w:val="72"/>
          <w:szCs w:val="72"/>
        </w:rPr>
        <w:t>年）</w:t>
      </w:r>
    </w:p>
    <w:p>
      <w:pPr>
        <w:jc w:val="center"/>
        <w:rPr>
          <w:rFonts w:eastAsia="黑体"/>
          <w:color w:val="000000"/>
          <w:sz w:val="72"/>
          <w:szCs w:val="72"/>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left"/>
        <w:rPr>
          <w:rFonts w:eastAsia="黑体"/>
          <w:color w:val="000000"/>
          <w:sz w:val="18"/>
        </w:rPr>
      </w:pPr>
    </w:p>
    <w:p>
      <w:pPr>
        <w:jc w:val="center"/>
        <w:rPr>
          <w:b/>
          <w:bCs/>
          <w:color w:val="000000"/>
          <w:sz w:val="44"/>
          <w:szCs w:val="44"/>
        </w:rPr>
      </w:pPr>
      <w:r>
        <w:rPr>
          <w:rFonts w:hint="eastAsia"/>
          <w:b/>
          <w:bCs/>
          <w:color w:val="000000"/>
          <w:sz w:val="44"/>
          <w:szCs w:val="44"/>
        </w:rPr>
        <w:t>二〇</w:t>
      </w:r>
      <w:r>
        <w:rPr>
          <w:rFonts w:hint="eastAsia"/>
          <w:b/>
          <w:bCs/>
          <w:color w:val="000000"/>
          <w:sz w:val="44"/>
          <w:szCs w:val="44"/>
          <w:lang w:eastAsia="zh-CN"/>
        </w:rPr>
        <w:t>二一</w:t>
      </w:r>
      <w:r>
        <w:rPr>
          <w:rFonts w:hint="eastAsia"/>
          <w:b/>
          <w:bCs/>
          <w:color w:val="000000"/>
          <w:sz w:val="44"/>
          <w:szCs w:val="44"/>
        </w:rPr>
        <w:t>年十</w:t>
      </w:r>
      <w:r>
        <w:rPr>
          <w:rFonts w:hint="eastAsia"/>
          <w:b/>
          <w:bCs/>
          <w:color w:val="000000"/>
          <w:sz w:val="44"/>
          <w:szCs w:val="44"/>
          <w:lang w:eastAsia="zh-CN"/>
        </w:rPr>
        <w:t>一</w:t>
      </w:r>
      <w:r>
        <w:rPr>
          <w:rFonts w:hint="eastAsia"/>
          <w:b/>
          <w:bCs/>
          <w:color w:val="000000"/>
          <w:sz w:val="44"/>
          <w:szCs w:val="44"/>
        </w:rPr>
        <w:t>月</w:t>
      </w:r>
    </w:p>
    <w:p>
      <w:pPr>
        <w:spacing w:line="560" w:lineRule="exact"/>
        <w:jc w:val="left"/>
        <w:rPr>
          <w:rFonts w:ascii="宋体" w:cs="宋体"/>
          <w:b/>
          <w:bCs/>
          <w:color w:val="000000"/>
          <w:sz w:val="36"/>
          <w:szCs w:val="36"/>
        </w:rPr>
      </w:pPr>
    </w:p>
    <w:p>
      <w:pPr>
        <w:spacing w:line="560" w:lineRule="exact"/>
        <w:jc w:val="left"/>
        <w:rPr>
          <w:rFonts w:ascii="宋体" w:cs="宋体"/>
          <w:b/>
          <w:bCs/>
          <w:color w:val="000000"/>
          <w:sz w:val="36"/>
          <w:szCs w:val="36"/>
        </w:rPr>
        <w:sectPr>
          <w:footerReference r:id="rId6" w:type="first"/>
          <w:headerReference r:id="rId3" w:type="default"/>
          <w:footerReference r:id="rId4" w:type="default"/>
          <w:footerReference r:id="rId5" w:type="even"/>
          <w:pgSz w:w="11906" w:h="16838"/>
          <w:pgMar w:top="1588" w:right="1701" w:bottom="1588" w:left="1701" w:header="851" w:footer="992" w:gutter="0"/>
          <w:pgNumType w:fmt="numberInDash" w:start="0"/>
          <w:cols w:space="720" w:num="1"/>
          <w:titlePg/>
          <w:docGrid w:linePitch="312" w:charSpace="0"/>
        </w:sectPr>
      </w:pPr>
    </w:p>
    <w:p>
      <w:pPr>
        <w:spacing w:line="560" w:lineRule="exact"/>
        <w:jc w:val="left"/>
        <w:rPr>
          <w:rFonts w:ascii="宋体" w:cs="宋体"/>
          <w:b/>
          <w:bCs/>
          <w:color w:val="000000"/>
          <w:sz w:val="36"/>
          <w:szCs w:val="36"/>
        </w:rPr>
      </w:pPr>
    </w:p>
    <w:p>
      <w:pPr>
        <w:spacing w:after="360" w:afterLines="150" w:line="700" w:lineRule="exact"/>
        <w:jc w:val="center"/>
        <w:rPr>
          <w:rFonts w:asciiTheme="majorEastAsia" w:hAnsiTheme="majorEastAsia" w:eastAsiaTheme="majorEastAsia"/>
          <w:color w:val="000000"/>
          <w:sz w:val="44"/>
          <w:szCs w:val="44"/>
        </w:rPr>
      </w:pPr>
      <w:r>
        <w:rPr>
          <w:rFonts w:hint="eastAsia" w:ascii="黑体" w:hAnsi="黑体" w:eastAsia="黑体" w:cs="黑体"/>
          <w:color w:val="000000"/>
          <w:sz w:val="36"/>
          <w:szCs w:val="36"/>
        </w:rPr>
        <w:t>目    录</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1.</w:t>
      </w:r>
      <w:r>
        <w:rPr>
          <w:rFonts w:hint="eastAsia" w:ascii="黑体" w:hAnsi="黑体" w:eastAsia="黑体" w:cs="黑体"/>
          <w:color w:val="000000"/>
          <w:sz w:val="24"/>
          <w:szCs w:val="24"/>
          <w:lang w:eastAsia="zh-CN"/>
        </w:rPr>
        <w:t>基本</w:t>
      </w:r>
      <w:r>
        <w:rPr>
          <w:rFonts w:hint="eastAsia" w:ascii="黑体" w:hAnsi="黑体" w:eastAsia="黑体" w:cs="黑体"/>
          <w:color w:val="000000"/>
          <w:sz w:val="24"/>
          <w:szCs w:val="24"/>
        </w:rPr>
        <w:t>情况</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1.1</w:t>
      </w:r>
      <w:r>
        <w:rPr>
          <w:rFonts w:hint="eastAsia" w:ascii="宋体" w:hAnsi="宋体" w:cs="宋体"/>
          <w:color w:val="000000"/>
          <w:sz w:val="24"/>
          <w:szCs w:val="24"/>
          <w:lang w:eastAsia="zh-CN"/>
        </w:rPr>
        <w:t>规模和结构</w:t>
      </w:r>
      <w:r>
        <w:rPr>
          <w:rFonts w:hint="eastAsia" w:ascii="宋体" w:hAnsi="宋体" w:cs="宋体"/>
          <w:color w:val="000000"/>
          <w:sz w:val="24"/>
          <w:szCs w:val="24"/>
          <w:lang w:val="en-US" w:eastAsia="zh-CN"/>
        </w:rPr>
        <w:tab/>
      </w:r>
      <w:r>
        <w:rPr>
          <w:rFonts w:hint="eastAsia" w:ascii="宋体" w:hAnsi="宋体" w:cs="宋体"/>
          <w:color w:val="000000"/>
          <w:sz w:val="24"/>
          <w:szCs w:val="24"/>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w:t>
      </w:r>
      <w:r>
        <w:rPr>
          <w:rFonts w:hint="eastAsia" w:ascii="宋体" w:hAnsi="宋体" w:cs="宋体"/>
          <w:color w:val="000000"/>
          <w:sz w:val="24"/>
          <w:szCs w:val="24"/>
          <w:lang w:eastAsia="zh-CN"/>
        </w:rPr>
        <w:t>设施和设备</w:t>
      </w:r>
      <w:r>
        <w:rPr>
          <w:rFonts w:hint="eastAsia" w:ascii="宋体" w:hAnsi="宋体" w:cs="宋体"/>
          <w:color w:val="000000"/>
          <w:sz w:val="24"/>
          <w:szCs w:val="24"/>
          <w:lang w:val="en-US" w:eastAsia="zh-CN"/>
        </w:rPr>
        <w:tab/>
      </w:r>
      <w:r>
        <w:rPr>
          <w:rFonts w:hint="eastAsia" w:ascii="宋体" w:hAnsi="宋体" w:cs="宋体"/>
          <w:color w:val="000000"/>
          <w:sz w:val="24"/>
          <w:szCs w:val="24"/>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4"/>
          <w:szCs w:val="24"/>
          <w:lang w:val="en-US" w:eastAsia="zh-CN"/>
        </w:rPr>
      </w:pPr>
      <w:r>
        <w:rPr>
          <w:rFonts w:hint="eastAsia" w:ascii="宋体" w:hAnsi="宋体" w:cs="宋体"/>
          <w:color w:val="000000"/>
          <w:sz w:val="24"/>
          <w:szCs w:val="24"/>
          <w:lang w:val="en-US" w:eastAsia="zh-CN"/>
        </w:rPr>
        <w:t>1.3</w:t>
      </w:r>
      <w:r>
        <w:rPr>
          <w:rFonts w:hint="eastAsia" w:ascii="宋体" w:hAnsi="宋体" w:cs="宋体"/>
          <w:color w:val="000000"/>
          <w:sz w:val="24"/>
          <w:szCs w:val="24"/>
        </w:rPr>
        <w:t>教师队伍</w:t>
      </w:r>
      <w:r>
        <w:rPr>
          <w:rFonts w:hint="eastAsia" w:ascii="宋体" w:hAnsi="宋体" w:cs="宋体"/>
          <w:color w:val="000000"/>
          <w:sz w:val="24"/>
          <w:szCs w:val="24"/>
          <w:lang w:val="en-US" w:eastAsia="zh-CN"/>
        </w:rPr>
        <w:tab/>
      </w:r>
      <w:r>
        <w:rPr>
          <w:rFonts w:hint="eastAsia" w:ascii="宋体" w:hAnsi="宋体" w:cs="宋体"/>
          <w:color w:val="000000"/>
          <w:sz w:val="24"/>
          <w:szCs w:val="24"/>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hAnsi="宋体" w:cs="宋体"/>
          <w:color w:val="000000"/>
          <w:sz w:val="24"/>
          <w:szCs w:val="24"/>
          <w:lang w:val="en-US"/>
        </w:rPr>
      </w:pPr>
      <w:r>
        <w:rPr>
          <w:rFonts w:hint="eastAsia" w:ascii="宋体" w:hAnsi="宋体" w:cs="宋体"/>
          <w:color w:val="000000"/>
          <w:sz w:val="24"/>
          <w:szCs w:val="24"/>
          <w:lang w:val="en-US" w:eastAsia="zh-CN"/>
        </w:rPr>
        <w:t>1.4</w:t>
      </w:r>
      <w:r>
        <w:rPr>
          <w:rFonts w:hint="eastAsia" w:ascii="宋体" w:hAnsi="宋体" w:cs="宋体"/>
          <w:color w:val="000000"/>
          <w:sz w:val="24"/>
          <w:szCs w:val="24"/>
          <w:lang w:eastAsia="zh-CN"/>
        </w:rPr>
        <w:t>信息化建设</w:t>
      </w:r>
      <w:r>
        <w:rPr>
          <w:rFonts w:hint="eastAsia" w:ascii="宋体" w:hAnsi="宋体" w:cs="宋体"/>
          <w:color w:val="000000"/>
          <w:sz w:val="24"/>
          <w:szCs w:val="24"/>
          <w:lang w:val="en-US" w:eastAsia="zh-CN"/>
        </w:rPr>
        <w:tab/>
      </w:r>
      <w:r>
        <w:rPr>
          <w:rFonts w:hint="eastAsia" w:ascii="宋体" w:hAnsi="宋体" w:cs="宋体"/>
          <w:color w:val="000000"/>
          <w:sz w:val="24"/>
          <w:szCs w:val="24"/>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hAnsi="宋体" w:cs="宋体"/>
          <w:color w:val="000000"/>
          <w:sz w:val="28"/>
          <w:szCs w:val="28"/>
          <w:lang w:val="en-US"/>
        </w:rPr>
      </w:pPr>
      <w:r>
        <w:rPr>
          <w:rFonts w:hint="eastAsia" w:ascii="宋体" w:hAnsi="宋体" w:cs="宋体"/>
          <w:color w:val="000000"/>
          <w:sz w:val="24"/>
          <w:szCs w:val="24"/>
          <w:lang w:val="en-US" w:eastAsia="zh-CN"/>
        </w:rPr>
        <w:t>1.5</w:t>
      </w:r>
      <w:r>
        <w:rPr>
          <w:rFonts w:hint="eastAsia" w:ascii="宋体" w:hAnsi="宋体" w:cs="宋体"/>
          <w:color w:val="000000"/>
          <w:sz w:val="24"/>
          <w:szCs w:val="24"/>
          <w:lang w:eastAsia="zh-CN"/>
        </w:rPr>
        <w:t>实训基地建设</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2.学生发展</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3</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2.1</w:t>
      </w:r>
      <w:r>
        <w:rPr>
          <w:rFonts w:hint="eastAsia" w:ascii="宋体" w:hAnsi="宋体" w:cs="宋体"/>
          <w:color w:val="000000"/>
          <w:sz w:val="24"/>
          <w:szCs w:val="24"/>
          <w:lang w:eastAsia="zh-CN"/>
        </w:rPr>
        <w:t>学生素质</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3</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cs="宋体"/>
          <w:color w:val="000000"/>
          <w:sz w:val="28"/>
          <w:szCs w:val="28"/>
          <w:lang w:val="en-US"/>
        </w:rPr>
      </w:pPr>
      <w:r>
        <w:rPr>
          <w:rFonts w:hint="eastAsia" w:ascii="宋体" w:hAnsi="宋体" w:cs="宋体"/>
          <w:color w:val="000000"/>
          <w:sz w:val="24"/>
          <w:szCs w:val="24"/>
          <w:lang w:val="en-US" w:eastAsia="zh-CN"/>
        </w:rPr>
        <w:t>2.2</w:t>
      </w:r>
      <w:r>
        <w:rPr>
          <w:rFonts w:hint="eastAsia" w:ascii="宋体" w:hAnsi="宋体" w:cs="宋体"/>
          <w:color w:val="000000"/>
          <w:sz w:val="24"/>
          <w:szCs w:val="24"/>
          <w:lang w:eastAsia="zh-CN"/>
        </w:rPr>
        <w:t>就业质量</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3</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3.质量保障措施</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4</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3.1</w:t>
      </w:r>
      <w:r>
        <w:rPr>
          <w:rFonts w:hint="eastAsia" w:ascii="宋体" w:hAnsi="宋体" w:cs="宋体"/>
          <w:color w:val="000000"/>
          <w:sz w:val="24"/>
          <w:szCs w:val="24"/>
          <w:lang w:eastAsia="zh-CN"/>
        </w:rPr>
        <w:t>专业动态调整</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4</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3.2</w:t>
      </w:r>
      <w:r>
        <w:rPr>
          <w:rFonts w:hint="eastAsia" w:ascii="宋体" w:hAnsi="宋体" w:cs="宋体"/>
          <w:color w:val="000000"/>
          <w:sz w:val="24"/>
          <w:szCs w:val="24"/>
          <w:lang w:eastAsia="zh-CN"/>
        </w:rPr>
        <w:t>教育教学改革</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4</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3.3</w:t>
      </w:r>
      <w:r>
        <w:rPr>
          <w:rFonts w:hint="eastAsia" w:ascii="宋体" w:hAnsi="宋体" w:cs="宋体"/>
          <w:color w:val="000000"/>
          <w:sz w:val="24"/>
          <w:szCs w:val="24"/>
          <w:lang w:eastAsia="zh-CN"/>
        </w:rPr>
        <w:t>教师培养培训</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4</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3.4</w:t>
      </w:r>
      <w:r>
        <w:rPr>
          <w:rFonts w:hint="eastAsia" w:ascii="宋体" w:hAnsi="宋体" w:cs="宋体"/>
          <w:color w:val="000000"/>
          <w:sz w:val="24"/>
          <w:szCs w:val="24"/>
          <w:lang w:eastAsia="zh-CN"/>
        </w:rPr>
        <w:t>规范管理情况</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5</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3.5</w:t>
      </w:r>
      <w:r>
        <w:rPr>
          <w:rFonts w:hint="eastAsia" w:ascii="宋体" w:hAnsi="宋体" w:cs="宋体"/>
          <w:color w:val="000000"/>
          <w:sz w:val="24"/>
          <w:szCs w:val="24"/>
          <w:lang w:eastAsia="zh-CN"/>
        </w:rPr>
        <w:t>德育工作情况</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8</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4.校企合作</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9</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4.1</w:t>
      </w:r>
      <w:r>
        <w:rPr>
          <w:rFonts w:hint="eastAsia" w:ascii="宋体" w:hAnsi="宋体" w:cs="宋体"/>
          <w:color w:val="000000"/>
          <w:sz w:val="24"/>
          <w:szCs w:val="24"/>
          <w:lang w:eastAsia="zh-CN"/>
        </w:rPr>
        <w:t>校企合作开展情况和效果</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9</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hAnsi="宋体" w:cs="宋体"/>
          <w:color w:val="000000"/>
          <w:sz w:val="28"/>
          <w:szCs w:val="28"/>
          <w:lang w:val="en-US" w:eastAsia="zh-CN"/>
        </w:rPr>
      </w:pPr>
      <w:r>
        <w:rPr>
          <w:rFonts w:hint="eastAsia" w:ascii="宋体" w:hAnsi="宋体" w:cs="宋体"/>
          <w:color w:val="000000"/>
          <w:sz w:val="24"/>
          <w:szCs w:val="24"/>
          <w:lang w:val="en-US" w:eastAsia="zh-CN"/>
        </w:rPr>
        <w:t>4.2</w:t>
      </w:r>
      <w:r>
        <w:rPr>
          <w:rFonts w:hint="eastAsia" w:ascii="宋体" w:hAnsi="宋体" w:cs="宋体"/>
          <w:color w:val="000000"/>
          <w:sz w:val="24"/>
          <w:szCs w:val="24"/>
          <w:lang w:eastAsia="zh-CN"/>
        </w:rPr>
        <w:t>学生实习情况</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9</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hAnsi="宋体" w:eastAsia="宋体"/>
          <w:color w:val="000000"/>
          <w:sz w:val="28"/>
          <w:szCs w:val="28"/>
          <w:lang w:val="en-US" w:eastAsia="zh-CN"/>
        </w:rPr>
      </w:pPr>
      <w:r>
        <w:rPr>
          <w:rFonts w:hint="eastAsia" w:ascii="黑体" w:hAnsi="黑体" w:eastAsia="黑体" w:cs="黑体"/>
          <w:color w:val="000000"/>
          <w:sz w:val="24"/>
          <w:szCs w:val="24"/>
          <w:lang w:val="en-US" w:eastAsia="zh-CN"/>
        </w:rPr>
        <w:t>5.社会贡献</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10</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5.1</w:t>
      </w:r>
      <w:r>
        <w:rPr>
          <w:rFonts w:hint="eastAsia" w:ascii="宋体" w:hAnsi="宋体" w:cs="宋体"/>
          <w:color w:val="000000"/>
          <w:sz w:val="24"/>
          <w:szCs w:val="24"/>
          <w:lang w:eastAsia="zh-CN"/>
        </w:rPr>
        <w:t>技术技能人才培养</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10</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5.2</w:t>
      </w:r>
      <w:r>
        <w:rPr>
          <w:rFonts w:hint="eastAsia" w:ascii="宋体" w:hAnsi="宋体" w:cs="宋体"/>
          <w:color w:val="000000"/>
          <w:sz w:val="24"/>
          <w:szCs w:val="24"/>
          <w:lang w:eastAsia="zh-CN"/>
        </w:rPr>
        <w:t>社会服务</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10</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6.政府履责</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6.1</w:t>
      </w:r>
      <w:r>
        <w:rPr>
          <w:rFonts w:hint="eastAsia" w:ascii="宋体" w:hAnsi="宋体" w:cs="宋体"/>
          <w:color w:val="000000"/>
          <w:sz w:val="24"/>
          <w:szCs w:val="24"/>
          <w:lang w:eastAsia="zh-CN"/>
        </w:rPr>
        <w:t>经费</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6.2</w:t>
      </w:r>
      <w:r>
        <w:rPr>
          <w:rFonts w:hint="eastAsia" w:ascii="宋体" w:hAnsi="宋体" w:cs="宋体"/>
          <w:color w:val="000000"/>
          <w:sz w:val="24"/>
          <w:szCs w:val="24"/>
          <w:lang w:eastAsia="zh-CN"/>
        </w:rPr>
        <w:t>政策措施</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11</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7.特色创新</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12</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left="479" w:leftChars="114" w:hanging="240" w:hangingChars="100"/>
        <w:jc w:val="left"/>
        <w:textAlignment w:val="auto"/>
        <w:rPr>
          <w:rFonts w:hint="default" w:ascii="宋体" w:hAnsi="宋体" w:eastAsia="宋体" w:cs="宋体"/>
          <w:color w:val="000000"/>
          <w:sz w:val="28"/>
          <w:szCs w:val="28"/>
          <w:lang w:val="en-US" w:eastAsia="zh-CN"/>
        </w:rPr>
      </w:pPr>
      <w:r>
        <w:rPr>
          <w:rFonts w:hint="eastAsia" w:ascii="宋体" w:hAnsi="宋体" w:cs="宋体"/>
          <w:color w:val="000000"/>
          <w:sz w:val="24"/>
          <w:szCs w:val="24"/>
          <w:lang w:val="en-US" w:eastAsia="zh-CN"/>
        </w:rPr>
        <w:t>7.1</w:t>
      </w:r>
      <w:r>
        <w:rPr>
          <w:rFonts w:hint="eastAsia" w:ascii="宋体" w:hAnsi="宋体" w:cs="宋体"/>
          <w:color w:val="000000"/>
          <w:sz w:val="24"/>
          <w:szCs w:val="24"/>
          <w:lang w:eastAsia="zh-CN"/>
        </w:rPr>
        <w:t>案例一：实施“五项育人”  提升育人质量</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12</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7.2</w:t>
      </w:r>
      <w:r>
        <w:rPr>
          <w:rFonts w:hint="eastAsia" w:ascii="宋体" w:hAnsi="宋体" w:cs="宋体"/>
          <w:color w:val="000000"/>
          <w:sz w:val="24"/>
          <w:szCs w:val="24"/>
          <w:lang w:eastAsia="zh-CN"/>
        </w:rPr>
        <w:t>案例二：数字化校园改造升级  共享智慧校园E时代</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15</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jc w:val="left"/>
        <w:textAlignment w:val="auto"/>
        <w:rPr>
          <w:rFonts w:hint="default" w:ascii="宋体" w:eastAsia="宋体" w:cs="宋体"/>
          <w:color w:val="000000"/>
          <w:sz w:val="28"/>
          <w:szCs w:val="28"/>
          <w:lang w:val="en-US" w:eastAsia="zh-CN"/>
        </w:rPr>
      </w:pPr>
      <w:r>
        <w:rPr>
          <w:rFonts w:hint="eastAsia" w:ascii="黑体" w:hAnsi="黑体" w:eastAsia="黑体" w:cs="黑体"/>
          <w:color w:val="000000"/>
          <w:sz w:val="24"/>
          <w:szCs w:val="24"/>
          <w:lang w:val="en-US" w:eastAsia="zh-CN"/>
        </w:rPr>
        <w:t>9.主要问题和改进措施</w:t>
      </w:r>
      <w:r>
        <w:rPr>
          <w:rFonts w:hint="eastAsia" w:ascii="宋体" w:hAnsi="宋体"/>
          <w:color w:val="000000"/>
          <w:sz w:val="28"/>
          <w:szCs w:val="28"/>
          <w:lang w:val="en-US" w:eastAsia="zh-CN"/>
        </w:rPr>
        <w:tab/>
      </w:r>
      <w:r>
        <w:rPr>
          <w:rFonts w:hint="eastAsia" w:ascii="宋体" w:hAnsi="宋体"/>
          <w:color w:val="000000"/>
          <w:sz w:val="28"/>
          <w:szCs w:val="28"/>
          <w:lang w:val="en-US" w:eastAsia="zh-CN"/>
        </w:rPr>
        <w:t>18</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9.1</w:t>
      </w:r>
      <w:r>
        <w:rPr>
          <w:rFonts w:hint="eastAsia" w:ascii="宋体" w:hAnsi="宋体" w:cs="宋体"/>
          <w:color w:val="000000"/>
          <w:sz w:val="24"/>
          <w:szCs w:val="24"/>
          <w:lang w:eastAsia="zh-CN"/>
        </w:rPr>
        <w:t>主要问题</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18</w:t>
      </w:r>
    </w:p>
    <w:p>
      <w:pPr>
        <w:keepNext w:val="0"/>
        <w:keepLines w:val="0"/>
        <w:pageBreakBefore w:val="0"/>
        <w:widowControl w:val="0"/>
        <w:tabs>
          <w:tab w:val="right" w:leader="dot" w:pos="8400"/>
        </w:tabs>
        <w:kinsoku/>
        <w:wordWrap/>
        <w:overflowPunct/>
        <w:topLinePunct w:val="0"/>
        <w:autoSpaceDE/>
        <w:autoSpaceDN/>
        <w:bidi w:val="0"/>
        <w:adjustRightInd/>
        <w:snapToGrid/>
        <w:spacing w:line="440" w:lineRule="exact"/>
        <w:ind w:firstLine="240" w:firstLineChars="100"/>
        <w:jc w:val="left"/>
        <w:textAlignment w:val="auto"/>
        <w:rPr>
          <w:rFonts w:hint="default" w:ascii="宋体" w:eastAsia="宋体" w:cs="宋体"/>
          <w:color w:val="000000"/>
          <w:sz w:val="28"/>
          <w:szCs w:val="28"/>
          <w:lang w:val="en-US" w:eastAsia="zh-CN"/>
        </w:rPr>
      </w:pPr>
      <w:r>
        <w:rPr>
          <w:rFonts w:hint="eastAsia" w:ascii="宋体" w:hAnsi="宋体" w:cs="宋体"/>
          <w:color w:val="000000"/>
          <w:sz w:val="24"/>
          <w:szCs w:val="24"/>
          <w:lang w:val="en-US" w:eastAsia="zh-CN"/>
        </w:rPr>
        <w:t>9.2</w:t>
      </w:r>
      <w:r>
        <w:rPr>
          <w:rFonts w:hint="eastAsia" w:ascii="宋体" w:hAnsi="宋体" w:cs="宋体"/>
          <w:color w:val="000000"/>
          <w:sz w:val="24"/>
          <w:szCs w:val="24"/>
          <w:lang w:eastAsia="zh-CN"/>
        </w:rPr>
        <w:t>改进措施</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18</w:t>
      </w:r>
    </w:p>
    <w:p>
      <w:pPr>
        <w:spacing w:line="64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ind w:firstLine="640" w:firstLineChars="200"/>
        <w:jc w:val="left"/>
        <w:rPr>
          <w:rFonts w:ascii="仿宋_GB2312" w:eastAsia="仿宋_GB2312"/>
          <w:color w:val="000000"/>
          <w:sz w:val="32"/>
          <w:szCs w:val="32"/>
        </w:rPr>
      </w:pPr>
    </w:p>
    <w:p>
      <w:pPr>
        <w:spacing w:line="560" w:lineRule="exact"/>
        <w:jc w:val="center"/>
        <w:rPr>
          <w:rFonts w:hint="eastAsia" w:ascii="黑体" w:hAnsi="黑体" w:eastAsia="黑体" w:cs="宋体"/>
          <w:bCs/>
          <w:color w:val="000000"/>
          <w:sz w:val="44"/>
          <w:szCs w:val="44"/>
          <w:lang w:eastAsia="zh-CN"/>
        </w:rPr>
        <w:sectPr>
          <w:footerReference r:id="rId8" w:type="first"/>
          <w:footerReference r:id="rId7" w:type="default"/>
          <w:pgSz w:w="11906" w:h="16838"/>
          <w:pgMar w:top="1588" w:right="1701" w:bottom="1588" w:left="1701" w:header="851" w:footer="992" w:gutter="0"/>
          <w:pgNumType w:fmt="numberInDash" w:start="0"/>
          <w:cols w:space="720" w:num="1"/>
          <w:titlePg/>
          <w:docGrid w:linePitch="312" w:charSpace="0"/>
        </w:sectPr>
      </w:pPr>
    </w:p>
    <w:p>
      <w:pPr>
        <w:spacing w:line="560" w:lineRule="exact"/>
        <w:jc w:val="center"/>
        <w:rPr>
          <w:rFonts w:ascii="黑体" w:hAnsi="黑体" w:eastAsia="黑体" w:cs="宋体"/>
          <w:bCs/>
          <w:color w:val="000000"/>
          <w:sz w:val="44"/>
          <w:szCs w:val="44"/>
        </w:rPr>
      </w:pPr>
      <w:r>
        <w:rPr>
          <w:rFonts w:hint="eastAsia" w:ascii="黑体" w:hAnsi="黑体" w:eastAsia="黑体" w:cs="宋体"/>
          <w:bCs/>
          <w:color w:val="000000"/>
          <w:sz w:val="44"/>
          <w:szCs w:val="44"/>
          <w:lang w:eastAsia="zh-CN"/>
        </w:rPr>
        <w:t>赤峰鼎好职业技术</w:t>
      </w:r>
      <w:r>
        <w:rPr>
          <w:rFonts w:hint="eastAsia" w:ascii="黑体" w:hAnsi="黑体" w:eastAsia="黑体" w:cs="宋体"/>
          <w:bCs/>
          <w:color w:val="000000"/>
          <w:sz w:val="44"/>
          <w:szCs w:val="44"/>
        </w:rPr>
        <w:t>学校</w:t>
      </w:r>
    </w:p>
    <w:p>
      <w:pPr>
        <w:spacing w:line="560" w:lineRule="exact"/>
        <w:jc w:val="center"/>
        <w:rPr>
          <w:rFonts w:ascii="仿宋_GB2312" w:eastAsia="仿宋_GB2312"/>
          <w:color w:val="000000"/>
          <w:sz w:val="32"/>
          <w:szCs w:val="32"/>
        </w:rPr>
      </w:pPr>
      <w:r>
        <w:rPr>
          <w:rFonts w:hint="eastAsia" w:ascii="黑体" w:hAnsi="黑体" w:eastAsia="黑体" w:cs="宋体"/>
          <w:bCs/>
          <w:color w:val="000000"/>
          <w:sz w:val="44"/>
          <w:szCs w:val="44"/>
        </w:rPr>
        <w:t>中等职业学校教育质量年度报告</w:t>
      </w:r>
    </w:p>
    <w:p>
      <w:pPr>
        <w:jc w:val="center"/>
        <w:rPr>
          <w:rFonts w:ascii="仿宋_GB2312" w:eastAsia="仿宋_GB2312"/>
          <w:color w:val="000000"/>
          <w:sz w:val="36"/>
          <w:szCs w:val="36"/>
        </w:rPr>
      </w:pPr>
    </w:p>
    <w:p>
      <w:pPr>
        <w:spacing w:line="640" w:lineRule="exact"/>
        <w:jc w:val="left"/>
        <w:rPr>
          <w:rFonts w:ascii="黑体" w:hAnsi="黑体" w:eastAsia="黑体" w:cs="仿宋_GB2312"/>
          <w:bCs/>
          <w:color w:val="000000"/>
          <w:sz w:val="30"/>
          <w:szCs w:val="30"/>
        </w:rPr>
      </w:pPr>
      <w:r>
        <w:rPr>
          <w:rFonts w:hint="eastAsia" w:ascii="黑体" w:hAnsi="黑体" w:eastAsia="黑体" w:cs="仿宋_GB2312"/>
          <w:bCs/>
          <w:color w:val="000000"/>
          <w:sz w:val="30"/>
          <w:szCs w:val="30"/>
          <w:lang w:val="en-US" w:eastAsia="zh-CN"/>
        </w:rPr>
        <w:t>1.</w:t>
      </w:r>
      <w:r>
        <w:rPr>
          <w:rFonts w:hint="eastAsia" w:ascii="黑体" w:hAnsi="黑体" w:eastAsia="黑体" w:cs="仿宋_GB2312"/>
          <w:bCs/>
          <w:color w:val="000000"/>
          <w:sz w:val="30"/>
          <w:szCs w:val="30"/>
          <w:lang w:eastAsia="zh-CN"/>
        </w:rPr>
        <w:t>基本</w:t>
      </w:r>
      <w:r>
        <w:rPr>
          <w:rFonts w:hint="eastAsia" w:ascii="黑体" w:hAnsi="黑体" w:eastAsia="黑体" w:cs="仿宋_GB2312"/>
          <w:bCs/>
          <w:color w:val="000000"/>
          <w:sz w:val="30"/>
          <w:szCs w:val="30"/>
        </w:rPr>
        <w:t>情况</w:t>
      </w:r>
    </w:p>
    <w:p>
      <w:pPr>
        <w:spacing w:line="640" w:lineRule="exact"/>
        <w:ind w:firstLine="280" w:firstLineChars="100"/>
        <w:jc w:val="left"/>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val="en-US" w:eastAsia="zh-CN"/>
        </w:rPr>
        <w:t>1.1</w:t>
      </w:r>
      <w:r>
        <w:rPr>
          <w:rFonts w:hint="eastAsia" w:ascii="黑体" w:hAnsi="黑体" w:eastAsia="黑体" w:cs="黑体"/>
          <w:b w:val="0"/>
          <w:bCs/>
          <w:color w:val="000000"/>
          <w:sz w:val="28"/>
          <w:szCs w:val="28"/>
          <w:lang w:eastAsia="zh-CN"/>
        </w:rPr>
        <w:t>规模和结构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赤峰鼎好职业技术</w:t>
      </w:r>
      <w:r>
        <w:rPr>
          <w:rFonts w:hint="eastAsia" w:ascii="宋体" w:hAnsi="宋体" w:eastAsia="宋体" w:cs="宋体"/>
          <w:color w:val="000000"/>
          <w:sz w:val="24"/>
          <w:szCs w:val="24"/>
        </w:rPr>
        <w:t>学校，是一所</w:t>
      </w:r>
      <w:r>
        <w:rPr>
          <w:rFonts w:hint="eastAsia" w:ascii="宋体" w:hAnsi="宋体" w:eastAsia="宋体" w:cs="宋体"/>
          <w:color w:val="000000"/>
          <w:sz w:val="24"/>
          <w:szCs w:val="24"/>
          <w:lang w:eastAsia="zh-CN"/>
        </w:rPr>
        <w:t>民</w:t>
      </w:r>
      <w:r>
        <w:rPr>
          <w:rFonts w:hint="eastAsia" w:ascii="宋体" w:hAnsi="宋体" w:eastAsia="宋体" w:cs="宋体"/>
          <w:color w:val="000000"/>
          <w:sz w:val="24"/>
          <w:szCs w:val="24"/>
        </w:rPr>
        <w:t>办全日制中等职业学校，建于</w:t>
      </w:r>
      <w:r>
        <w:rPr>
          <w:rFonts w:hint="eastAsia" w:ascii="宋体" w:hAnsi="宋体" w:cs="宋体"/>
          <w:color w:val="000000"/>
          <w:sz w:val="24"/>
          <w:szCs w:val="24"/>
          <w:lang w:val="en-US" w:eastAsia="zh-CN"/>
        </w:rPr>
        <w:t>2008</w:t>
      </w:r>
      <w:r>
        <w:rPr>
          <w:rFonts w:hint="eastAsia" w:ascii="宋体" w:hAnsi="宋体" w:eastAsia="宋体" w:cs="宋体"/>
          <w:color w:val="000000"/>
          <w:sz w:val="24"/>
          <w:szCs w:val="24"/>
        </w:rPr>
        <w:t>年。</w:t>
      </w:r>
      <w:r>
        <w:rPr>
          <w:rFonts w:hint="eastAsia" w:ascii="宋体" w:hAnsi="宋体" w:eastAsia="宋体" w:cs="宋体"/>
          <w:color w:val="000000"/>
          <w:sz w:val="24"/>
          <w:szCs w:val="24"/>
          <w:lang w:eastAsia="zh-CN"/>
        </w:rPr>
        <w:t>是市教育局等部门批准备案的一所中专学校，以培养技能型、紧缺型人才为主，技能和学历教育为一体的综合性职业技术学校</w:t>
      </w:r>
      <w:r>
        <w:rPr>
          <w:rFonts w:hint="eastAsia" w:ascii="宋体" w:hAnsi="宋体" w:eastAsia="宋体" w:cs="宋体"/>
          <w:color w:val="000000"/>
          <w:sz w:val="24"/>
          <w:szCs w:val="24"/>
        </w:rPr>
        <w:t>。学校现占地面积</w:t>
      </w:r>
      <w:r>
        <w:rPr>
          <w:rFonts w:hint="eastAsia" w:ascii="宋体" w:hAnsi="宋体" w:cs="宋体"/>
          <w:color w:val="000000"/>
          <w:sz w:val="24"/>
          <w:szCs w:val="24"/>
          <w:lang w:val="en-US" w:eastAsia="zh-CN"/>
        </w:rPr>
        <w:t>12800.00</w:t>
      </w:r>
      <w:r>
        <w:rPr>
          <w:rFonts w:hint="eastAsia" w:ascii="宋体" w:hAnsi="宋体" w:eastAsia="宋体" w:cs="宋体"/>
          <w:color w:val="000000"/>
          <w:sz w:val="24"/>
          <w:szCs w:val="24"/>
          <w:shd w:val="clear" w:color="auto" w:fill="FFFFFF"/>
        </w:rPr>
        <w:t>平方米，建筑面积</w:t>
      </w:r>
      <w:r>
        <w:rPr>
          <w:rFonts w:hint="eastAsia" w:ascii="宋体" w:hAnsi="宋体" w:cs="宋体"/>
          <w:color w:val="000000"/>
          <w:sz w:val="24"/>
          <w:szCs w:val="24"/>
          <w:shd w:val="clear" w:color="auto" w:fill="FFFFFF"/>
          <w:lang w:val="en-US" w:eastAsia="zh-CN"/>
        </w:rPr>
        <w:t>18230.00</w:t>
      </w:r>
      <w:r>
        <w:rPr>
          <w:rFonts w:hint="eastAsia" w:ascii="宋体" w:hAnsi="宋体" w:eastAsia="宋体" w:cs="宋体"/>
          <w:color w:val="000000"/>
          <w:sz w:val="24"/>
          <w:szCs w:val="24"/>
          <w:shd w:val="clear" w:color="auto" w:fill="FFFFFF"/>
        </w:rPr>
        <w:t>平方米</w:t>
      </w:r>
      <w:r>
        <w:rPr>
          <w:rFonts w:hint="eastAsia" w:ascii="宋体" w:hAnsi="宋体" w:eastAsia="宋体" w:cs="宋体"/>
          <w:color w:val="000000"/>
          <w:sz w:val="24"/>
          <w:szCs w:val="24"/>
        </w:rPr>
        <w:t>。招生人数：20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年为1</w:t>
      </w:r>
      <w:r>
        <w:rPr>
          <w:rFonts w:hint="eastAsia" w:ascii="宋体" w:hAnsi="宋体" w:eastAsia="宋体" w:cs="宋体"/>
          <w:color w:val="000000"/>
          <w:sz w:val="24"/>
          <w:szCs w:val="24"/>
          <w:lang w:val="en-US" w:eastAsia="zh-CN"/>
        </w:rPr>
        <w:t>58</w:t>
      </w:r>
      <w:r>
        <w:rPr>
          <w:rFonts w:hint="eastAsia" w:ascii="宋体" w:hAnsi="宋体" w:eastAsia="宋体" w:cs="宋体"/>
          <w:color w:val="000000"/>
          <w:sz w:val="24"/>
          <w:szCs w:val="24"/>
        </w:rPr>
        <w:t>人，20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年为</w:t>
      </w:r>
      <w:r>
        <w:rPr>
          <w:rFonts w:hint="eastAsia" w:ascii="宋体" w:hAnsi="宋体" w:eastAsia="宋体" w:cs="宋体"/>
          <w:color w:val="000000"/>
          <w:sz w:val="24"/>
          <w:szCs w:val="24"/>
          <w:lang w:val="en-US" w:eastAsia="zh-CN"/>
        </w:rPr>
        <w:t>18</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人；在校生人数：20</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年为</w:t>
      </w:r>
      <w:r>
        <w:rPr>
          <w:rFonts w:hint="eastAsia" w:ascii="宋体" w:hAnsi="宋体" w:cs="宋体"/>
          <w:color w:val="000000"/>
          <w:sz w:val="24"/>
          <w:szCs w:val="24"/>
          <w:lang w:val="en-US" w:eastAsia="zh-CN"/>
        </w:rPr>
        <w:t>278</w:t>
      </w:r>
      <w:r>
        <w:rPr>
          <w:rFonts w:hint="eastAsia" w:ascii="宋体" w:hAnsi="宋体" w:eastAsia="宋体" w:cs="宋体"/>
          <w:color w:val="000000"/>
          <w:sz w:val="24"/>
          <w:szCs w:val="24"/>
        </w:rPr>
        <w:t>人，20</w:t>
      </w:r>
      <w:r>
        <w:rPr>
          <w:rFonts w:hint="eastAsia" w:ascii="宋体" w:hAnsi="宋体" w:cs="宋体"/>
          <w:color w:val="000000"/>
          <w:sz w:val="24"/>
          <w:szCs w:val="24"/>
          <w:lang w:val="en-US" w:eastAsia="zh-CN"/>
        </w:rPr>
        <w:t>21</w:t>
      </w:r>
      <w:r>
        <w:rPr>
          <w:rFonts w:hint="eastAsia" w:ascii="宋体" w:hAnsi="宋体" w:eastAsia="宋体" w:cs="宋体"/>
          <w:color w:val="000000"/>
          <w:sz w:val="24"/>
          <w:szCs w:val="24"/>
        </w:rPr>
        <w:t>年为</w:t>
      </w:r>
      <w:r>
        <w:rPr>
          <w:rFonts w:hint="eastAsia" w:ascii="宋体" w:hAnsi="宋体" w:cs="宋体"/>
          <w:color w:val="000000"/>
          <w:sz w:val="24"/>
          <w:szCs w:val="24"/>
          <w:lang w:val="en-US" w:eastAsia="zh-CN"/>
        </w:rPr>
        <w:t>398</w:t>
      </w:r>
      <w:r>
        <w:rPr>
          <w:rFonts w:hint="eastAsia" w:ascii="宋体" w:hAnsi="宋体" w:eastAsia="宋体" w:cs="宋体"/>
          <w:color w:val="000000"/>
          <w:sz w:val="24"/>
          <w:szCs w:val="24"/>
        </w:rPr>
        <w:t>人；毕业生数20</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年为</w:t>
      </w:r>
      <w:r>
        <w:rPr>
          <w:rFonts w:hint="eastAsia" w:ascii="宋体" w:hAnsi="宋体" w:cs="宋体"/>
          <w:color w:val="000000"/>
          <w:sz w:val="24"/>
          <w:szCs w:val="24"/>
          <w:lang w:val="en-US" w:eastAsia="zh-CN"/>
        </w:rPr>
        <w:t>41</w:t>
      </w:r>
      <w:r>
        <w:rPr>
          <w:rFonts w:hint="eastAsia" w:ascii="宋体" w:hAnsi="宋体" w:eastAsia="宋体" w:cs="宋体"/>
          <w:color w:val="000000"/>
          <w:sz w:val="24"/>
          <w:szCs w:val="24"/>
        </w:rPr>
        <w:t>人，20</w:t>
      </w:r>
      <w:r>
        <w:rPr>
          <w:rFonts w:hint="eastAsia" w:ascii="宋体" w:hAnsi="宋体" w:cs="宋体"/>
          <w:color w:val="000000"/>
          <w:sz w:val="24"/>
          <w:szCs w:val="24"/>
          <w:lang w:val="en-US" w:eastAsia="zh-CN"/>
        </w:rPr>
        <w:t>21</w:t>
      </w:r>
      <w:r>
        <w:rPr>
          <w:rFonts w:hint="eastAsia" w:ascii="宋体" w:hAnsi="宋体" w:eastAsia="宋体" w:cs="宋体"/>
          <w:color w:val="000000"/>
          <w:sz w:val="24"/>
          <w:szCs w:val="24"/>
        </w:rPr>
        <w:t>年为</w:t>
      </w:r>
      <w:r>
        <w:rPr>
          <w:rFonts w:hint="eastAsia" w:ascii="宋体" w:hAnsi="宋体" w:cs="宋体"/>
          <w:color w:val="000000"/>
          <w:sz w:val="24"/>
          <w:szCs w:val="24"/>
          <w:lang w:val="en-US" w:eastAsia="zh-CN"/>
        </w:rPr>
        <w:t>67</w:t>
      </w:r>
      <w:r>
        <w:rPr>
          <w:rFonts w:hint="eastAsia" w:ascii="宋体" w:hAnsi="宋体" w:eastAsia="宋体" w:cs="宋体"/>
          <w:color w:val="000000"/>
          <w:sz w:val="24"/>
          <w:szCs w:val="24"/>
        </w:rPr>
        <w:t>人。</w:t>
      </w:r>
    </w:p>
    <w:p>
      <w:pPr>
        <w:numPr>
          <w:ilvl w:val="0"/>
          <w:numId w:val="0"/>
        </w:numPr>
        <w:spacing w:line="640" w:lineRule="exact"/>
        <w:ind w:firstLine="280" w:firstLineChars="100"/>
        <w:jc w:val="left"/>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val="en-US" w:eastAsia="zh-CN"/>
        </w:rPr>
        <w:t>1.2</w:t>
      </w:r>
      <w:r>
        <w:rPr>
          <w:rFonts w:hint="eastAsia" w:ascii="黑体" w:hAnsi="黑体" w:eastAsia="黑体" w:cs="黑体"/>
          <w:b w:val="0"/>
          <w:bCs/>
          <w:color w:val="000000"/>
          <w:sz w:val="28"/>
          <w:szCs w:val="28"/>
          <w:lang w:eastAsia="zh-CN"/>
        </w:rPr>
        <w:t>设施和设备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年，学校生均教学仪器设备值</w:t>
      </w:r>
      <w:r>
        <w:rPr>
          <w:rFonts w:hint="eastAsia" w:ascii="宋体" w:hAnsi="宋体" w:eastAsia="宋体" w:cs="宋体"/>
          <w:color w:val="000000"/>
          <w:sz w:val="24"/>
          <w:szCs w:val="24"/>
          <w:lang w:val="en-US" w:eastAsia="zh-CN"/>
        </w:rPr>
        <w:t>1381</w:t>
      </w:r>
      <w:r>
        <w:rPr>
          <w:rFonts w:hint="eastAsia" w:ascii="宋体" w:hAnsi="宋体" w:eastAsia="宋体" w:cs="宋体"/>
          <w:color w:val="000000"/>
          <w:sz w:val="24"/>
          <w:szCs w:val="24"/>
        </w:rPr>
        <w:t>元；比20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年度生均教学仪器设备值增加</w:t>
      </w:r>
      <w:r>
        <w:rPr>
          <w:rFonts w:hint="eastAsia" w:ascii="宋体" w:hAnsi="宋体" w:eastAsia="宋体" w:cs="宋体"/>
          <w:color w:val="000000"/>
          <w:sz w:val="24"/>
          <w:szCs w:val="24"/>
          <w:lang w:val="en-US" w:eastAsia="zh-CN"/>
        </w:rPr>
        <w:t>381</w:t>
      </w:r>
      <w:r>
        <w:rPr>
          <w:rFonts w:hint="eastAsia" w:ascii="宋体" w:hAnsi="宋体" w:eastAsia="宋体" w:cs="宋体"/>
          <w:color w:val="000000"/>
          <w:sz w:val="24"/>
          <w:szCs w:val="24"/>
        </w:rPr>
        <w:t>元。20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年度生均纸质图书</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册，比20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年度生均纸质图书</w:t>
      </w:r>
      <w:r>
        <w:rPr>
          <w:rFonts w:hint="eastAsia" w:ascii="宋体" w:hAnsi="宋体" w:eastAsia="宋体" w:cs="宋体"/>
          <w:color w:val="000000"/>
          <w:sz w:val="24"/>
          <w:szCs w:val="24"/>
          <w:lang w:eastAsia="zh-CN"/>
        </w:rPr>
        <w:t>减少</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册</w:t>
      </w:r>
      <w:r>
        <w:rPr>
          <w:rFonts w:hint="eastAsia" w:ascii="宋体" w:hAnsi="宋体" w:eastAsia="宋体" w:cs="宋体"/>
          <w:color w:val="000000"/>
          <w:sz w:val="24"/>
          <w:szCs w:val="24"/>
          <w:lang w:eastAsia="zh-CN"/>
        </w:rPr>
        <w:t>。</w:t>
      </w:r>
    </w:p>
    <w:p>
      <w:pPr>
        <w:spacing w:line="640" w:lineRule="exact"/>
        <w:ind w:firstLine="280" w:firstLineChars="100"/>
        <w:jc w:val="left"/>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1.3</w:t>
      </w:r>
      <w:r>
        <w:rPr>
          <w:rFonts w:hint="eastAsia" w:ascii="黑体" w:hAnsi="黑体" w:eastAsia="黑体" w:cs="黑体"/>
          <w:b w:val="0"/>
          <w:bCs/>
          <w:color w:val="000000"/>
          <w:sz w:val="28"/>
          <w:szCs w:val="28"/>
        </w:rPr>
        <w:t>教师队伍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目前，我校现教师</w:t>
      </w:r>
      <w:r>
        <w:rPr>
          <w:rFonts w:hint="eastAsia" w:ascii="宋体" w:hAnsi="宋体" w:eastAsia="宋体" w:cs="宋体"/>
          <w:color w:val="000000"/>
          <w:sz w:val="24"/>
          <w:szCs w:val="24"/>
          <w:lang w:val="en-US" w:eastAsia="zh-CN"/>
        </w:rPr>
        <w:t>33</w:t>
      </w:r>
      <w:r>
        <w:rPr>
          <w:rFonts w:hint="eastAsia" w:ascii="宋体" w:hAnsi="宋体" w:eastAsia="宋体" w:cs="宋体"/>
          <w:color w:val="000000"/>
          <w:sz w:val="24"/>
          <w:szCs w:val="24"/>
        </w:rPr>
        <w:t>人，其中专任专业教师28人，专任专业教师占专任教师比例达</w:t>
      </w:r>
      <w:r>
        <w:rPr>
          <w:rFonts w:hint="eastAsia" w:ascii="宋体" w:hAnsi="宋体" w:eastAsia="宋体" w:cs="宋体"/>
          <w:color w:val="000000"/>
          <w:sz w:val="24"/>
          <w:szCs w:val="24"/>
          <w:lang w:val="en-US" w:eastAsia="zh-CN"/>
        </w:rPr>
        <w:t>84.8</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与</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年度情况</w:t>
      </w:r>
      <w:r>
        <w:rPr>
          <w:rFonts w:hint="eastAsia" w:ascii="宋体" w:hAnsi="宋体" w:eastAsia="宋体" w:cs="宋体"/>
          <w:color w:val="000000"/>
          <w:sz w:val="24"/>
          <w:szCs w:val="24"/>
          <w:lang w:eastAsia="zh-CN"/>
        </w:rPr>
        <w:t>相比基本</w:t>
      </w:r>
      <w:r>
        <w:rPr>
          <w:rFonts w:hint="eastAsia" w:ascii="宋体" w:hAnsi="宋体" w:eastAsia="宋体" w:cs="宋体"/>
          <w:color w:val="000000"/>
          <w:sz w:val="24"/>
          <w:szCs w:val="24"/>
        </w:rPr>
        <w:t>持平；生师比为</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年度为1</w:t>
      </w:r>
      <w:r>
        <w:rPr>
          <w:rFonts w:hint="eastAsia" w:ascii="宋体" w:hAnsi="宋体" w:eastAsia="宋体" w:cs="宋体"/>
          <w:color w:val="000000"/>
          <w:sz w:val="24"/>
          <w:szCs w:val="24"/>
          <w:lang w:val="en-US" w:eastAsia="zh-CN"/>
        </w:rPr>
        <w:t>3.9</w:t>
      </w:r>
      <w:r>
        <w:rPr>
          <w:rFonts w:hint="eastAsia" w:ascii="宋体" w:hAnsi="宋体" w:eastAsia="宋体" w:cs="宋体"/>
          <w:color w:val="000000"/>
          <w:sz w:val="24"/>
          <w:szCs w:val="24"/>
        </w:rPr>
        <w:t>:1；专任专业“双师”型教师占专业教师比例为</w:t>
      </w:r>
      <w:r>
        <w:rPr>
          <w:rFonts w:hint="eastAsia" w:ascii="宋体" w:hAnsi="宋体" w:eastAsia="宋体" w:cs="宋体"/>
          <w:color w:val="000000"/>
          <w:sz w:val="24"/>
          <w:szCs w:val="24"/>
          <w:lang w:val="en-US" w:eastAsia="zh-CN"/>
        </w:rPr>
        <w:t>7.14</w:t>
      </w:r>
      <w:r>
        <w:rPr>
          <w:rFonts w:hint="eastAsia" w:ascii="宋体" w:hAnsi="宋体" w:eastAsia="宋体" w:cs="宋体"/>
          <w:color w:val="000000"/>
          <w:sz w:val="24"/>
          <w:szCs w:val="24"/>
        </w:rPr>
        <w:t>%，与20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年度情况持平；专任教师本科以上学历比例为</w:t>
      </w:r>
      <w:r>
        <w:rPr>
          <w:rFonts w:hint="eastAsia" w:ascii="宋体" w:hAnsi="宋体" w:eastAsia="宋体" w:cs="宋体"/>
          <w:color w:val="000000"/>
          <w:sz w:val="24"/>
          <w:szCs w:val="24"/>
          <w:lang w:val="en-US" w:eastAsia="zh-CN"/>
        </w:rPr>
        <w:t>82.14</w:t>
      </w:r>
      <w:r>
        <w:rPr>
          <w:rFonts w:hint="eastAsia" w:ascii="宋体" w:hAnsi="宋体" w:eastAsia="宋体" w:cs="宋体"/>
          <w:color w:val="000000"/>
          <w:sz w:val="24"/>
          <w:szCs w:val="24"/>
        </w:rPr>
        <w:t>%。</w:t>
      </w:r>
    </w:p>
    <w:p>
      <w:pPr>
        <w:numPr>
          <w:ilvl w:val="0"/>
          <w:numId w:val="0"/>
        </w:numPr>
        <w:spacing w:line="640" w:lineRule="exact"/>
        <w:ind w:firstLine="280" w:firstLineChars="100"/>
        <w:jc w:val="left"/>
        <w:rPr>
          <w:rFonts w:hint="eastAsia" w:ascii="宋体" w:hAnsi="宋体" w:eastAsia="宋体" w:cs="宋体"/>
          <w:b/>
          <w:color w:val="000000"/>
          <w:sz w:val="32"/>
          <w:szCs w:val="32"/>
          <w:lang w:eastAsia="zh-CN"/>
        </w:rPr>
      </w:pPr>
      <w:r>
        <w:rPr>
          <w:rFonts w:hint="eastAsia" w:ascii="黑体" w:hAnsi="黑体" w:eastAsia="黑体" w:cs="黑体"/>
          <w:b w:val="0"/>
          <w:bCs/>
          <w:color w:val="000000"/>
          <w:sz w:val="28"/>
          <w:szCs w:val="28"/>
          <w:lang w:val="en-US" w:eastAsia="zh-CN"/>
        </w:rPr>
        <w:t>1.4信息化建设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我校，</w:t>
      </w:r>
      <w:r>
        <w:rPr>
          <w:rFonts w:hint="eastAsia" w:ascii="宋体" w:hAnsi="宋体" w:eastAsia="宋体" w:cs="宋体"/>
          <w:color w:val="000000"/>
          <w:sz w:val="24"/>
          <w:szCs w:val="24"/>
          <w:lang w:val="en-US" w:eastAsia="zh-CN"/>
        </w:rPr>
        <w:t>2021年平均宽带300M，2020年平均宽带100M;教室总数18间，比2020年增长8间；交互型设备教室数10间，其中交互型设备教室中能上网教室数10间；展示型设备教室数4间，其中能上网的4间；我校已建设校园网。</w:t>
      </w:r>
    </w:p>
    <w:p>
      <w:pPr>
        <w:numPr>
          <w:ilvl w:val="0"/>
          <w:numId w:val="0"/>
        </w:numPr>
        <w:spacing w:line="640" w:lineRule="exact"/>
        <w:ind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1.5实训基地建设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2021年，我校校内公共实习实习实训基地数4个；实训基地设备总量10台；设备总值4万元，我校校内学校实习实习实训基地数4个；实训基地设备总量10台；设备总值15万元。</w:t>
      </w:r>
    </w:p>
    <w:p>
      <w:pPr>
        <w:widowControl w:val="0"/>
        <w:numPr>
          <w:ilvl w:val="0"/>
          <w:numId w:val="0"/>
        </w:numPr>
        <w:spacing w:line="640" w:lineRule="exact"/>
        <w:ind w:firstLine="640" w:firstLineChars="200"/>
        <w:jc w:val="left"/>
        <w:rPr>
          <w:rFonts w:hint="eastAsia" w:ascii="宋体" w:hAnsi="宋体" w:cs="宋体"/>
          <w:color w:val="000000"/>
          <w:sz w:val="32"/>
          <w:szCs w:val="32"/>
          <w:lang w:val="en-US" w:eastAsia="zh-CN"/>
        </w:rPr>
      </w:pPr>
    </w:p>
    <w:p>
      <w:pPr>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br w:type="page"/>
      </w:r>
    </w:p>
    <w:p>
      <w:pPr>
        <w:spacing w:line="640" w:lineRule="exact"/>
        <w:jc w:val="left"/>
        <w:rPr>
          <w:rFonts w:hint="eastAsia" w:ascii="黑体" w:hAnsi="黑体" w:eastAsia="黑体" w:cs="仿宋_GB2312"/>
          <w:bCs/>
          <w:color w:val="000000"/>
          <w:sz w:val="30"/>
          <w:szCs w:val="30"/>
          <w:lang w:val="en-US" w:eastAsia="zh-CN"/>
        </w:rPr>
      </w:pPr>
      <w:r>
        <w:rPr>
          <w:rFonts w:hint="eastAsia" w:ascii="黑体" w:hAnsi="黑体" w:eastAsia="黑体" w:cs="仿宋_GB2312"/>
          <w:bCs/>
          <w:color w:val="000000"/>
          <w:sz w:val="30"/>
          <w:szCs w:val="30"/>
          <w:lang w:val="en-US" w:eastAsia="zh-CN"/>
        </w:rPr>
        <w:t>2.学生发展</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2.1学生素质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思想政治状况。目前我校学生思想政治状况整体良好。但有一少部分学生仍然存在理想信念不坚定以及认识错误；部分学生思想上偏离了正确的“三观”，侧重于物质追求和享受；部分学生厌学情绪严重，对学习的重要性没有足够的认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2.文化课学习。学校高度重视文化课教学，严格执行上级规定，开全、开足文化课。今年文化</w:t>
      </w:r>
      <w:r>
        <w:rPr>
          <w:rFonts w:hint="eastAsia" w:ascii="宋体" w:hAnsi="宋体" w:eastAsia="宋体" w:cs="宋体"/>
          <w:color w:val="000000"/>
          <w:sz w:val="24"/>
          <w:szCs w:val="24"/>
          <w:lang w:eastAsia="zh-CN"/>
        </w:rPr>
        <w:t>基础</w:t>
      </w:r>
      <w:r>
        <w:rPr>
          <w:rFonts w:hint="eastAsia" w:ascii="宋体" w:hAnsi="宋体" w:eastAsia="宋体" w:cs="宋体"/>
          <w:color w:val="000000"/>
          <w:sz w:val="24"/>
          <w:szCs w:val="24"/>
        </w:rPr>
        <w:t>课合格率</w:t>
      </w:r>
      <w:r>
        <w:rPr>
          <w:rFonts w:hint="eastAsia" w:ascii="宋体" w:hAnsi="宋体" w:eastAsia="宋体" w:cs="宋体"/>
          <w:color w:val="000000"/>
          <w:sz w:val="24"/>
          <w:szCs w:val="24"/>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3.专业技能学习。学校积极推进国家示范校建设成果转化，深入实施人才培养模式与课程体系改革，以</w:t>
      </w:r>
      <w:r>
        <w:rPr>
          <w:rFonts w:hint="eastAsia" w:ascii="宋体" w:hAnsi="宋体" w:eastAsia="宋体" w:cs="宋体"/>
          <w:color w:val="000000"/>
          <w:sz w:val="24"/>
          <w:szCs w:val="24"/>
          <w:lang w:eastAsia="zh-CN"/>
        </w:rPr>
        <w:t>计算机专业和交通运输专业两</w:t>
      </w:r>
      <w:r>
        <w:rPr>
          <w:rFonts w:hint="eastAsia" w:ascii="宋体" w:hAnsi="宋体" w:eastAsia="宋体" w:cs="宋体"/>
          <w:color w:val="000000"/>
          <w:sz w:val="24"/>
          <w:szCs w:val="24"/>
        </w:rPr>
        <w:t>个重点专业为带动，不断推进“理实一体化”教学，在校内模拟教学、课间实习、顶岗实习等教学活动中，把育人放在首位，重点培养学生吃苦耐劳和服务奉献的精神。今年专业技能合格率达到</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4．学生体质。学校积极开展“阳光”体育运动，今年相继开展了跳绳、拔河、广播体操比赛和田径运动会等体育活动，较好地促进了学生健康素质的提升。今年学生体质测评合格率为</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jc w:val="left"/>
        <w:textAlignment w:val="auto"/>
        <w:rPr>
          <w:rFonts w:ascii="仿宋_GB2312" w:hAnsi="仿宋_GB2312" w:eastAsia="仿宋_GB2312" w:cs="仿宋_GB2312"/>
          <w:color w:val="000000"/>
          <w:sz w:val="32"/>
          <w:szCs w:val="32"/>
        </w:rPr>
      </w:pPr>
      <w:r>
        <w:rPr>
          <w:rFonts w:hint="eastAsia" w:ascii="宋体" w:hAnsi="宋体" w:eastAsia="宋体" w:cs="宋体"/>
          <w:color w:val="000000"/>
          <w:sz w:val="24"/>
          <w:szCs w:val="24"/>
        </w:rPr>
        <w:t>5.毕业情况。学校认真贯彻国家和省市学生管理有关规定，严把学生毕业关，保证学生毕业质量。</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2.2就业质量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2021年，我校毕业生数67人，直接就业67人，直接就业率100%，对口就业人数67人，规模以上企业就业人数54人，中小微企业就业人数13人，对口就业率100%，学生初次就业月收入3000元。</w:t>
      </w:r>
    </w:p>
    <w:p>
      <w:pPr>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br w:type="page"/>
      </w:r>
    </w:p>
    <w:p>
      <w:pPr>
        <w:spacing w:line="640" w:lineRule="exact"/>
        <w:jc w:val="left"/>
        <w:rPr>
          <w:rFonts w:ascii="黑体" w:hAnsi="黑体" w:eastAsia="黑体" w:cs="仿宋_GB2312"/>
          <w:bCs/>
          <w:color w:val="000000"/>
          <w:sz w:val="36"/>
          <w:szCs w:val="36"/>
        </w:rPr>
      </w:pPr>
      <w:r>
        <w:rPr>
          <w:rFonts w:hint="eastAsia" w:ascii="黑体" w:hAnsi="黑体" w:eastAsia="黑体" w:cs="仿宋_GB2312"/>
          <w:bCs/>
          <w:color w:val="000000"/>
          <w:sz w:val="30"/>
          <w:szCs w:val="30"/>
          <w:lang w:val="en-US" w:eastAsia="zh-CN"/>
        </w:rPr>
        <w:t>3.质量保障措施</w:t>
      </w:r>
    </w:p>
    <w:p>
      <w:pPr>
        <w:numPr>
          <w:ilvl w:val="0"/>
          <w:numId w:val="0"/>
        </w:numPr>
        <w:spacing w:line="640" w:lineRule="exact"/>
        <w:ind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3.1专业动态调整</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175"/>
        <w:jc w:val="left"/>
        <w:textAlignment w:val="auto"/>
        <w:rPr>
          <w:rFonts w:ascii="仿宋_GB2312" w:hAnsi="仿宋_GB2312" w:eastAsia="仿宋_GB2312" w:cs="仿宋_GB2312"/>
          <w:color w:val="000000"/>
          <w:sz w:val="32"/>
          <w:szCs w:val="32"/>
        </w:rPr>
      </w:pPr>
      <w:r>
        <w:rPr>
          <w:rFonts w:hint="eastAsia" w:ascii="宋体" w:hAnsi="宋体" w:eastAsia="宋体" w:cs="宋体"/>
          <w:color w:val="000000"/>
          <w:sz w:val="24"/>
          <w:szCs w:val="24"/>
        </w:rPr>
        <w:t>学校建立了专业调整动态机制，成立了人才需求调研论证小组，坚持以服务地方经济为主导，统筹规划和不断优化专业设置。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完善专业建设机制。一是立足地方主导产业，对接地区产业发展，定期开展科学论证，设置引领行业发展、职业变化的新兴专业。二是开展专业调研论证，严格申报审批程序，定期开展专业建设咨询、专业调整研讨等。三是专业建设有规划、有目标、有方案、有措施、有特色。在专业建设中，学校建立了专业带头人制度，由专业带头人主持各专业建设的规划与实施。四是建立人才培养与专业设置动态调整机制。依据地方产业结构调整和发展趋势，不断延伸专业链或增加专业方向，定期调研论证，为专业设置的动态调整提供依据。根据本地区</w:t>
      </w:r>
      <w:r>
        <w:rPr>
          <w:rFonts w:hint="eastAsia" w:ascii="宋体" w:hAnsi="宋体" w:eastAsia="宋体" w:cs="宋体"/>
          <w:color w:val="000000"/>
          <w:sz w:val="24"/>
          <w:szCs w:val="24"/>
          <w:lang w:eastAsia="zh-CN"/>
        </w:rPr>
        <w:t>计算机和交通</w:t>
      </w:r>
      <w:r>
        <w:rPr>
          <w:rFonts w:hint="eastAsia" w:ascii="宋体" w:hAnsi="宋体" w:eastAsia="宋体" w:cs="宋体"/>
          <w:color w:val="000000"/>
          <w:sz w:val="24"/>
          <w:szCs w:val="24"/>
        </w:rPr>
        <w:t>结构需求，我校将</w:t>
      </w:r>
      <w:r>
        <w:rPr>
          <w:rFonts w:hint="eastAsia" w:ascii="宋体" w:hAnsi="宋体" w:eastAsia="宋体" w:cs="宋体"/>
          <w:color w:val="000000"/>
          <w:sz w:val="24"/>
          <w:szCs w:val="24"/>
          <w:lang w:eastAsia="zh-CN"/>
        </w:rPr>
        <w:t>计算机和交通运输两</w:t>
      </w:r>
      <w:r>
        <w:rPr>
          <w:rFonts w:hint="eastAsia" w:ascii="宋体" w:hAnsi="宋体" w:eastAsia="宋体" w:cs="宋体"/>
          <w:color w:val="000000"/>
          <w:sz w:val="24"/>
          <w:szCs w:val="24"/>
        </w:rPr>
        <w:t>个专业列为重点建设专业。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不断完善人才培养方案。学校严格执行国家和省有关要求，科学制定并滚动修订各专业实施性教学计划。一是深入开展市场调研，提高专业与产业、课程与岗位、技能与职业标准的吻合度。二是成立专业建设指导委员会，每年定期召开专业建设研讨会，充分听取相关行业、企业意见，开展职业分析与教学分析，按照实事求是的原则，滚动修订专业人才培养方案，构建以能力为核心的课程体系。现已完成</w:t>
      </w:r>
      <w:r>
        <w:rPr>
          <w:rFonts w:hint="eastAsia" w:ascii="宋体" w:hAnsi="宋体" w:eastAsia="宋体" w:cs="宋体"/>
          <w:color w:val="000000"/>
          <w:sz w:val="24"/>
          <w:szCs w:val="24"/>
          <w:lang w:eastAsia="zh-CN"/>
        </w:rPr>
        <w:t>两</w:t>
      </w:r>
      <w:r>
        <w:rPr>
          <w:rFonts w:hint="eastAsia" w:ascii="宋体" w:hAnsi="宋体" w:eastAsia="宋体" w:cs="宋体"/>
          <w:color w:val="000000"/>
          <w:sz w:val="24"/>
          <w:szCs w:val="24"/>
        </w:rPr>
        <w:t>个重点专业的人才培养方案。</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3.2教育教学改革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.信息化建设成效斐然。学校先后投资</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余万元，建设了数字化校园。现所有教室和部分实训室都配备了多媒体教学系统，并实现了校园网络。所有教师均能应用信息化手段进行教学。目前学校骨干专业都建立了具有自身特色的教学资源库及精品课程平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.高标准建设校内实训基地。打造集教学、实训、技能为一体的“教学模拟”，带动全校实训教学水平提高；校内实训室增至</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个，综合提升学生的操作技能水平。</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3.3教师培养培训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校一直以“为学校持续健康发展”为目标，坚持“突出重点、优化结构”的原则，扎实开展师资队伍建设。从教师的思想政治素质、专业理论水平、实践教学能力和教学科研能力等方面着手，全面提高师资队伍的整体素质，努力打造一支“学习型”、“创新型”、“精英型”的优质师资队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1.师资队伍建设目标明确。制定了教师个人发展规划和年度目标，建立了专业负责人制度，积极实施“名师培养工程”。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.突出技能训练。要求专业课教师既要学历达标，又要动手能力过硬，每人制订技能达标计划，通过努力使专业技能考核均达到较高水平。同时，学校还鼓励教师发挥专业特长，钻研新技术。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加强对新分配、新调进教师的业务指导。对新教师，积极开展分层次培养活动，并坚持开展“以老带新”活动，使教学新手向骨干教师学习，骨干教师向知名专家、学者学习，从而促进教师不断学习、不断总结、不断提高。</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3.4规范管理情况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1.教学管理。（1）学校修订了《教学工作管理规程》、《师资队伍管理制度》、《校企合作管理制度》、《德育工作条例》等一系列管理规章制度，实现全校管理环节的全覆盖。（</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狠抓教学过程管理。一是严抓教学常规管理。学校按照上级有关规定和要求，修订教师考核办法，进一步规范教师的备课及上课。对备课的格式按照新课改的要求作了新的调整，注重教学设计。倡导教师用欣赏的眼光看学生，尊重学生人格。要求教师“以生为本”设计教学过程，注重课堂实效。严谨治教，狠抓教学各环节的常规，细化各环节管理。以课堂教学中的学生出勤及课堂纪律为突破口，狠抓学风建设；认真落实教学管理规定，狠抓课堂秩序管理，严格考试制度，进一步推动教风、学风和校风建设，为提高教学质量营造了规范有序的教学环境。教务处、督学办经常深入课堂听课，狠抓教学检查，教研组每月检查一次，教务处每学期全面检查三次，做到一查、一评、一通报，对发现的问题记入教师教学业务考核。另外，教务处还派专人负责每天教学常规检查和记载，及时发布《教学日志》，杜绝了随意调串课、迟到、早退、旷教等不良现象，保证了教学运行有序。二是突出实践教学管理。严格按照专业人才培养方案和课程标准编排实训计划、实训教学进程表。加强管理，严格考核，所有实习项目做到训练前有计划方案，过程中完成实习报告，训练后总结评比。重视实践教学的组织、设计、管理与考核，实践教学质量高。三是规范顶岗实习管理。学校建成了一批稳定的、满足实习要求的校外实习基地，能满足全体学生顶岗实习要求。学校与实习单位共同制订实习计划，做到“有计划总结、有课题任务、有带教人员指导、有考核评价、有答辩交流”。加强实习期间管理，学校安排专人负责，班主任跟踪、实训办不定期到企业巡回检查，指导学生实习，定期考核。重视实习总结交流，对各类校外实习，均开展总结交流工作，以促进学生实习反思，提高实习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学生管理。我校严格执行上级有关规定，创造性地开展学生管理工作，坚持德育为首，以构建和谐校园为载体，牢固树立以人为本的教育理念，强化学生日常行为规范养成教育；以主题鲜明的校园活动为切入点，以“育人”教育为主线，创新德育工作，创建德育管理品牌，全面提高学生素质；切实加强“教育引导，心理疏导，人文关怀，规范管理”的德育工作机制，坚定不移地走内涵发展道路。（1）学校制定实施了《学生操行考核办法》、《学生文明行为公约》、《学生考勤制度》、《学生安全教育及管理规定》等一整套有利于学生全面发展的管理制度，强化制度管人，使学生管理工作实施有了良好的遵循和保障。学生在严格规范的制度管理下，学生逐步养成了良好的生活行为习惯。（2）学校每天都有值班值宿人员，值班人员负责每天常规检查、公布，学生处定期对全校学生管理工作进行抽查，及时发布督查通报，学生会每天对班级常规独立检查、考核，每天公布检查考核结果，并纳入到班级月常规量化考核。学生处每周日晚召开班主任例会，组织学习相关教育管理知识，并通报上周存在问题，布置本周学管工作。每月召开学管工作例会，通报上月班级常规量化考核排名和存在的问题，布置本月工作重点。所有考核结果都与班主任津贴、评优等挂钩。（3）重视学生干部的选拔和培养。每学期校学生会进行招聘宣传，学生自愿报名，学生处审核资格，举办竞聘演讲，入围学生试用两周合格后正式成为学生会成员。平时注重对学生干部工作的指导和培养，定期召开学生会工作人员会议，班长会议，团支书会议，帮助学生干部总结取得的成绩，指出存在的问题，表彰先进，布置工作。经过不断培训，学生干部思想素质和工作能力得到不断提高，在日常管理、学校重大活动等方面，发挥了重要作用，学生自我教育、自我管理、自我服务功能得到充分体现。（4）抓优秀学生的正面激励引导和违纪学生的惩戒转化。一是结合学生“三优”评选工作，收集各班优秀学生事迹，树立先进典型，正面激发学生学习动力，促进了良好学习风气的形成。（5）定期举行针对性强、主题鲜明的专题教育活动。坚持以人为本，以学生发展为本，针对不同素质层次的学生举行了一系列主题鲜明、针对性强的专题教育活动。针对中职学生耐挫能力差的问题，学生处安排专人负责接待学生，及时矫正学生心理失衡，使他们保持健康心态；对违规违纪学生，跟踪教育管理，给他们提要求，找他们谈心，深入细致地做好他们的思想转化工作，使他们遵纪守法，不出问题。经过不懈努力，许多有问题的学生思想已经得到转化。（6）规范学籍管理。学生学籍管理工作档案齐全，收集、归档、保管工作规范，学籍注册登记、信息异动更改及时，学籍管理系统运行正常，毕业证书发放及时准确。（7）加强实习管理，积极开展就业、创业服务。学校严格执行教育部中职生“五不得”要求，由实训办负责学生的实习管理，与实习单位签订实习协议，学校安排专门带教老师对学生进行管理，做到职责明确，方案周密，学生实习教育、检查、信息反馈、考核评价、反馈等档案资料齐全。建立毕业生跟踪调查制度，毕业生就业率达98%以上，就业质量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财务管理。组织财务人员认真学习相关制度文件，领会财务工作方面要求，明确岗位工作职责；着重加强固定资产账目的核算，做到账物相符、账账相符；加强会计人员的继续教育；严格执行收费公示，不乱收费；严格执行收支两条线，代办费实行多退少补，等等。学校资产管理有专人负责，资产使用坚持谁使用、谁管理、谁损坏、谁赔偿的原则,使用人员即为责任人。固定资产台账齐全，账物相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后勤管理。（1）组织健全。学校成立了以校长为组长，分管副校长为副组长的学校后勤工作管理领导小组，建立健全了各项制度和岗位规范，分工明确，职责清晰，形成了团结协作、齐抓共管的工作格局。（2）创设良好氛围。我校本着“以人为本，和谐发展”的校园文化建设理念，积极创造净化、美化、绿化、亮化的人文环境，营造了文明和谐的校园环境，绿化景点和校园文化相得益彰。（3）加强食堂管理。成立了以分管领导为组长的食品卫生安全工作领导小组，配备专门管理人员，进行监督管理。学生食堂炊具齐全，内部照明、通风、排烟、污水排放设施完善。从细处入手，严把食品采购贮存关，确保食堂环境与餐具卫生；加强从业人员健康教育，完善食堂常规管理制度。制订了食品突发事件应急预案，定期开展从业人员营养卫生知识讲座，利用广播、报廊等形式向师生进行食品卫生和营养知识宣传，学校食堂多年来从未发生过食品卫生安全事故。（4）基建维修管理。成立专门工作小组，人员分工明确，职责分明，同时还制订了责任追究制度。各基建项目严格按照相关规定执行申请立项、批复、规划许可、建设许可、定位放线、地质勘探、单体设计、图审、监理、工程招标等程序。在具体维修工作中，着力强化时间、质量、造价三个环节的控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安全管理。学校成立了安全工作领导小组，切实加强领导和监管。坚持“预防为主、防治结合、加强教育、群防群治”的原则，认真落实安全责任制，建立健全隐患治理和危险源监控制度，加强事故预警、预防和应急救援工作，消除安全隐患，努力构建安全管理长效机制。</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3.5德育工作情况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19" w:firstLineChars="131"/>
        <w:jc w:val="left"/>
        <w:textAlignment w:val="auto"/>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r>
        <w:rPr>
          <w:rFonts w:hint="eastAsia" w:ascii="宋体" w:hAnsi="宋体" w:eastAsia="宋体" w:cs="宋体"/>
          <w:color w:val="000000"/>
          <w:sz w:val="24"/>
          <w:szCs w:val="24"/>
        </w:rPr>
        <w:t>我校始终坚持“以人为本、德育为先、因材施教”的育人方针，牢固确立“个个能成功，人人会发展”的德育理念，以构建和谐校园为载体，创造性地开展德育工作，强化学生日常行为规范养成教育；以主题鲜明的校园活动为切入点，创新德育工作，创建德育管理品牌，全面提高学生素质；切实加强“教育引导，心理疏导，人文关怀，规范管理”的德育工作机制，坚定不移地走内涵发展道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19" w:firstLineChars="131"/>
        <w:jc w:val="left"/>
        <w:textAlignment w:val="auto"/>
        <w:rPr>
          <w:rFonts w:hint="eastAsia" w:ascii="宋体" w:hAnsi="宋体" w:eastAsia="宋体" w:cs="宋体"/>
          <w:color w:val="000000"/>
          <w:sz w:val="24"/>
          <w:szCs w:val="24"/>
        </w:rPr>
      </w:pPr>
      <w:r>
        <w:rPr>
          <w:rFonts w:hint="eastAsia" w:ascii="宋体" w:hAnsi="宋体" w:eastAsia="宋体" w:cs="宋体"/>
          <w:color w:val="000000"/>
          <w:sz w:val="32"/>
          <w:szCs w:val="32"/>
        </w:rPr>
        <w:t xml:space="preserve"> </w:t>
      </w:r>
      <w:r>
        <w:rPr>
          <w:rFonts w:hint="eastAsia" w:ascii="宋体" w:hAnsi="宋体" w:eastAsia="宋体" w:cs="宋体"/>
          <w:color w:val="000000"/>
          <w:sz w:val="24"/>
          <w:szCs w:val="24"/>
        </w:rPr>
        <w:t>1.德育教师队伍齐全，业务能力强。按课程设置要求配足配齐德育教师。德育课有大纲、有教材、有计划、有课表、有教师，保证了德育课的正常教学。学校还定期派德育教师外出培训，德育教研组定期开展教研活动，积极探讨德育课活动教学方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注重校园文化建设，打造浓郁的育人环境。近年来，我校一直以学校文化建设为载体，通过师生的传承和创造，积累了一定的精神成果和蕴涵这种精神成果的物质成果，同时在新的时代环境下又不断地进行创新和改进。教室走廊都挂有励志名人画像等，教室内部根据各班专业特点设置标语、展示创意、彰显个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积极开展丰富多彩的校园文化活动，陶冶学生情操。围绕专业学习开展活动。如组织开展专业知识竞赛、技能竞赛、运动会等。三是结合政治教育开展活动。每逢大型节日或纪念日，不失时机地开展主题教育活动，加强思想政治教育。如：开展3.15“学雷锋”活动、庆“七.一”革命歌曲演唱会等，培养学生政治道德素质和爱国主义精神。四是针对学生性格特点，积极开展丰富多彩、寓教于乐的校园文化活动。如开展校园主持人大赛、文艺晚会、趣味运动会、主题班会、“我爱我校”视频比赛活动等，通过开展活动，促进了管理，增强了向心力，学生的精神面貌明显好转。五是组织青年志愿者到敬老院、社区献爱心慰问、在校内清除卫生死角、到社区开展义务卫生宣传等活动。</w:t>
      </w:r>
    </w:p>
    <w:p>
      <w:pPr>
        <w:rPr>
          <w:rFonts w:hint="eastAsia" w:ascii="黑体" w:hAnsi="黑体" w:eastAsia="黑体" w:cs="仿宋_GB2312"/>
          <w:bCs/>
          <w:color w:val="000000"/>
          <w:sz w:val="30"/>
          <w:szCs w:val="30"/>
          <w:lang w:val="en-US" w:eastAsia="zh-CN"/>
        </w:rPr>
      </w:pPr>
      <w:r>
        <w:rPr>
          <w:rFonts w:hint="eastAsia" w:ascii="黑体" w:hAnsi="黑体" w:eastAsia="黑体" w:cs="仿宋_GB2312"/>
          <w:bCs/>
          <w:color w:val="000000"/>
          <w:sz w:val="30"/>
          <w:szCs w:val="30"/>
          <w:lang w:val="en-US" w:eastAsia="zh-CN"/>
        </w:rPr>
        <w:br w:type="page"/>
      </w:r>
    </w:p>
    <w:p>
      <w:pPr>
        <w:spacing w:line="640" w:lineRule="exact"/>
        <w:jc w:val="left"/>
        <w:rPr>
          <w:rFonts w:hint="eastAsia" w:ascii="黑体" w:hAnsi="黑体" w:eastAsia="黑体" w:cs="黑体"/>
          <w:bCs/>
          <w:color w:val="000000"/>
          <w:sz w:val="36"/>
          <w:szCs w:val="36"/>
        </w:rPr>
      </w:pPr>
      <w:r>
        <w:rPr>
          <w:rFonts w:hint="eastAsia" w:ascii="黑体" w:hAnsi="黑体" w:eastAsia="黑体" w:cs="仿宋_GB2312"/>
          <w:bCs/>
          <w:color w:val="000000"/>
          <w:sz w:val="30"/>
          <w:szCs w:val="30"/>
          <w:lang w:val="en-US" w:eastAsia="zh-CN"/>
        </w:rPr>
        <w:t>4.校企合作</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4.1校企合作开展情况和效果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学校签订合作协议的企业共计</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个，主要为</w:t>
      </w:r>
      <w:r>
        <w:rPr>
          <w:rFonts w:hint="eastAsia" w:ascii="宋体" w:hAnsi="宋体" w:eastAsia="宋体" w:cs="宋体"/>
          <w:color w:val="000000"/>
          <w:sz w:val="24"/>
          <w:szCs w:val="24"/>
          <w:lang w:eastAsia="zh-CN"/>
        </w:rPr>
        <w:t>计算机</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高铁等</w:t>
      </w:r>
      <w:r>
        <w:rPr>
          <w:rFonts w:hint="eastAsia" w:ascii="宋体" w:hAnsi="宋体" w:eastAsia="宋体" w:cs="宋体"/>
          <w:color w:val="000000"/>
          <w:sz w:val="24"/>
          <w:szCs w:val="24"/>
        </w:rPr>
        <w:t>单位。合作内容主要包括学生实习就业、学校专业建设、兼职教师聘任、教师进企业实践锻炼等多个方面。通过调查，校企合作给我校学生提供见习和实习机会的同时，也让学生在工作历练中得到了社会的认可，从而进一步增强了校企合作的信心。</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4.2学生实习情况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通过调查统计，学生顶岗实习人数占学生数比例为</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rPr>
        <w:t>%，毕业前顶岗实习累计时间达</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个月以上，专业对口实习占实习学生比例达98%。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000000"/>
          <w:sz w:val="32"/>
          <w:szCs w:val="32"/>
        </w:rPr>
      </w:pPr>
      <w:r>
        <w:rPr>
          <w:rFonts w:hint="eastAsia" w:ascii="宋体" w:hAnsi="宋体" w:eastAsia="宋体" w:cs="宋体"/>
          <w:color w:val="000000"/>
          <w:sz w:val="24"/>
          <w:szCs w:val="24"/>
        </w:rPr>
        <w:br w:type="page"/>
      </w:r>
    </w:p>
    <w:p>
      <w:pPr>
        <w:spacing w:line="640" w:lineRule="exact"/>
        <w:jc w:val="left"/>
        <w:rPr>
          <w:rFonts w:hint="eastAsia" w:ascii="黑体" w:hAnsi="黑体" w:eastAsia="黑体" w:cs="黑体"/>
          <w:b w:val="0"/>
          <w:bCs/>
          <w:color w:val="000000"/>
          <w:sz w:val="36"/>
          <w:szCs w:val="36"/>
        </w:rPr>
      </w:pPr>
      <w:r>
        <w:rPr>
          <w:rFonts w:hint="eastAsia" w:ascii="黑体" w:hAnsi="黑体" w:eastAsia="黑体" w:cs="仿宋_GB2312"/>
          <w:bCs/>
          <w:color w:val="000000"/>
          <w:sz w:val="30"/>
          <w:szCs w:val="30"/>
          <w:lang w:val="en-US" w:eastAsia="zh-CN"/>
        </w:rPr>
        <w:t>5.社会贡献</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5.1技术技能人才培养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本年度毕业生90%以上取得本专业或相关专业证书。学生专业技能水平扎实，毕业生就业质量及用人单位满意度较高。</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5.2社会服务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jc w:val="left"/>
        <w:textAlignment w:val="auto"/>
        <w:rPr>
          <w:rFonts w:hint="eastAsia" w:ascii="宋体" w:hAnsi="宋体" w:eastAsia="宋体" w:cs="宋体"/>
          <w:color w:val="000000"/>
          <w:sz w:val="24"/>
          <w:szCs w:val="24"/>
        </w:rPr>
      </w:pPr>
      <w:bookmarkStart w:id="0" w:name="OLE_LINK1"/>
      <w:r>
        <w:rPr>
          <w:rFonts w:hint="eastAsia" w:ascii="宋体" w:hAnsi="宋体" w:eastAsia="宋体" w:cs="宋体"/>
          <w:color w:val="000000"/>
          <w:sz w:val="24"/>
          <w:szCs w:val="24"/>
        </w:rPr>
        <w:t>我校面向社会开展的服务项目主要有：</w:t>
      </w:r>
      <w:r>
        <w:rPr>
          <w:rFonts w:hint="eastAsia" w:ascii="宋体" w:hAnsi="宋体" w:eastAsia="宋体" w:cs="宋体"/>
          <w:color w:val="000000"/>
          <w:sz w:val="24"/>
          <w:szCs w:val="24"/>
          <w:lang w:eastAsia="zh-CN"/>
        </w:rPr>
        <w:t>计算机</w:t>
      </w:r>
      <w:r>
        <w:rPr>
          <w:rFonts w:hint="eastAsia" w:ascii="宋体" w:hAnsi="宋体" w:eastAsia="宋体" w:cs="宋体"/>
          <w:color w:val="000000"/>
          <w:sz w:val="24"/>
          <w:szCs w:val="24"/>
        </w:rPr>
        <w:t>岗位培训、</w:t>
      </w:r>
      <w:r>
        <w:rPr>
          <w:rFonts w:hint="eastAsia" w:ascii="宋体" w:hAnsi="宋体" w:eastAsia="宋体" w:cs="宋体"/>
          <w:color w:val="000000"/>
          <w:sz w:val="24"/>
          <w:szCs w:val="24"/>
          <w:lang w:eastAsia="zh-CN"/>
        </w:rPr>
        <w:t>高铁服务</w:t>
      </w:r>
      <w:r>
        <w:rPr>
          <w:rFonts w:hint="eastAsia" w:ascii="宋体" w:hAnsi="宋体" w:eastAsia="宋体" w:cs="宋体"/>
          <w:color w:val="000000"/>
          <w:sz w:val="24"/>
          <w:szCs w:val="24"/>
        </w:rPr>
        <w:t>岗位培训，开展了青年志愿者服务、关爱空巢老人献爱心等多项社会服务活动。</w:t>
      </w:r>
    </w:p>
    <w:bookmarkEnd w:id="0"/>
    <w:p>
      <w:pPr>
        <w:rPr>
          <w:rFonts w:hint="eastAsia" w:ascii="宋体" w:hAnsi="宋体" w:eastAsia="宋体" w:cs="宋体"/>
          <w:bCs/>
          <w:color w:val="000000"/>
          <w:sz w:val="32"/>
          <w:szCs w:val="32"/>
        </w:rPr>
      </w:pPr>
      <w:r>
        <w:rPr>
          <w:rFonts w:hint="eastAsia" w:ascii="宋体" w:hAnsi="宋体" w:eastAsia="宋体" w:cs="宋体"/>
          <w:bCs/>
          <w:color w:val="000000"/>
          <w:sz w:val="32"/>
          <w:szCs w:val="32"/>
        </w:rPr>
        <w:br w:type="page"/>
      </w:r>
    </w:p>
    <w:p>
      <w:pPr>
        <w:spacing w:line="640" w:lineRule="exact"/>
        <w:jc w:val="left"/>
        <w:rPr>
          <w:rFonts w:hint="eastAsia" w:ascii="黑体" w:hAnsi="黑体" w:eastAsia="黑体" w:cs="仿宋_GB2312"/>
          <w:bCs/>
          <w:color w:val="000000"/>
          <w:sz w:val="30"/>
          <w:szCs w:val="30"/>
          <w:lang w:val="en-US" w:eastAsia="zh-CN"/>
        </w:rPr>
      </w:pPr>
      <w:r>
        <w:rPr>
          <w:rFonts w:hint="eastAsia" w:ascii="黑体" w:hAnsi="黑体" w:eastAsia="黑体" w:cs="仿宋_GB2312"/>
          <w:bCs/>
          <w:color w:val="000000"/>
          <w:sz w:val="30"/>
          <w:szCs w:val="30"/>
          <w:lang w:val="en-US" w:eastAsia="zh-CN"/>
        </w:rPr>
        <w:t>6.政府履责</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6.1经费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color w:val="000000"/>
          <w:sz w:val="24"/>
          <w:szCs w:val="24"/>
          <w:lang w:val="en-US" w:eastAsia="zh-CN"/>
        </w:rPr>
      </w:pPr>
      <w:r>
        <w:rPr>
          <w:rFonts w:hint="eastAsia" w:ascii="宋体" w:hAnsi="宋体" w:eastAsia="宋体" w:cs="宋体"/>
          <w:color w:val="000000"/>
          <w:sz w:val="24"/>
          <w:szCs w:val="24"/>
          <w:lang w:eastAsia="zh-CN"/>
        </w:rPr>
        <w:t>我校为民办中职学校</w:t>
      </w:r>
      <w:r>
        <w:rPr>
          <w:rFonts w:hint="eastAsia" w:ascii="宋体" w:hAnsi="宋体" w:eastAsia="宋体" w:cs="宋体"/>
          <w:color w:val="000000"/>
          <w:sz w:val="24"/>
          <w:szCs w:val="24"/>
        </w:rPr>
        <w:t>，</w:t>
      </w:r>
      <w:r>
        <w:rPr>
          <w:rFonts w:hint="eastAsia" w:ascii="宋体" w:hAnsi="宋体" w:cs="宋体"/>
          <w:color w:val="000000"/>
          <w:sz w:val="24"/>
          <w:szCs w:val="24"/>
          <w:lang w:eastAsia="zh-CN"/>
        </w:rPr>
        <w:t>享受国家“三免一补”政策，每学期补助学费</w:t>
      </w:r>
      <w:r>
        <w:rPr>
          <w:rFonts w:hint="eastAsia" w:ascii="宋体" w:hAnsi="宋体" w:cs="宋体"/>
          <w:color w:val="000000"/>
          <w:sz w:val="24"/>
          <w:szCs w:val="24"/>
          <w:lang w:val="en-US" w:eastAsia="zh-CN"/>
        </w:rPr>
        <w:t>1000元、住宿费250元、国家助学金750元，一年</w:t>
      </w:r>
      <w:bookmarkStart w:id="31" w:name="_GoBack"/>
      <w:bookmarkEnd w:id="31"/>
      <w:r>
        <w:rPr>
          <w:rFonts w:hint="eastAsia" w:ascii="宋体" w:hAnsi="宋体" w:cs="宋体"/>
          <w:color w:val="000000"/>
          <w:sz w:val="24"/>
          <w:szCs w:val="24"/>
          <w:lang w:val="en-US" w:eastAsia="zh-CN"/>
        </w:rPr>
        <w:t>经费标准4000元/生。</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6.2政策措施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年，学校修订了一整套管理制度，实现了全校管理各环节的全覆盖。制定了《中长期教师建设规划和培养方案》，建立师资队伍引进、培训、晋级、奖惩新机制，着力打造专业带头人、“双师型”素质教师、骨干教师和兼职教师四支队伍，引领师资队伍水平整体提升，形成了师德高尚、结构合理、业务过硬的优秀专业教学团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spacing w:line="640" w:lineRule="exact"/>
        <w:jc w:val="left"/>
        <w:rPr>
          <w:rFonts w:hint="eastAsia" w:ascii="黑体" w:hAnsi="黑体" w:eastAsia="黑体" w:cs="黑体"/>
          <w:bCs/>
          <w:color w:val="000000"/>
          <w:sz w:val="36"/>
          <w:szCs w:val="36"/>
        </w:rPr>
      </w:pPr>
      <w:r>
        <w:rPr>
          <w:rFonts w:hint="eastAsia" w:ascii="黑体" w:hAnsi="黑体" w:eastAsia="黑体" w:cs="仿宋_GB2312"/>
          <w:bCs/>
          <w:color w:val="000000"/>
          <w:sz w:val="30"/>
          <w:szCs w:val="30"/>
          <w:lang w:val="en-US" w:eastAsia="zh-CN"/>
        </w:rPr>
        <w:t>7.特色创新</w:t>
      </w:r>
    </w:p>
    <w:p>
      <w:pPr>
        <w:jc w:val="left"/>
        <w:rPr>
          <w:rFonts w:hint="eastAsia" w:ascii="宋体" w:hAnsi="宋体" w:eastAsia="宋体" w:cs="宋体"/>
          <w:b/>
          <w:bCs/>
          <w:color w:val="000000"/>
          <w:sz w:val="32"/>
          <w:szCs w:val="32"/>
        </w:rPr>
      </w:pPr>
    </w:p>
    <w:p>
      <w:pPr>
        <w:spacing w:line="640" w:lineRule="exact"/>
        <w:jc w:val="left"/>
        <w:rPr>
          <w:rFonts w:hint="eastAsia" w:ascii="宋体" w:hAnsi="宋体" w:eastAsia="宋体" w:cs="宋体"/>
          <w:bCs/>
          <w:color w:val="000000"/>
          <w:sz w:val="32"/>
          <w:szCs w:val="32"/>
        </w:rPr>
      </w:pPr>
      <w:r>
        <w:rPr>
          <w:rFonts w:hint="eastAsia" w:ascii="黑体" w:hAnsi="黑体" w:eastAsia="黑体" w:cs="黑体"/>
          <w:b w:val="0"/>
          <w:bCs/>
          <w:color w:val="000000"/>
          <w:sz w:val="28"/>
          <w:szCs w:val="28"/>
          <w:lang w:val="en-US" w:eastAsia="zh-CN"/>
        </w:rPr>
        <w:t>7.1案例一</w:t>
      </w:r>
      <w:r>
        <w:rPr>
          <w:rFonts w:hint="eastAsia" w:ascii="宋体" w:hAnsi="宋体" w:eastAsia="宋体" w:cs="宋体"/>
          <w:b/>
          <w:bCs/>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实施“五项育人”  提升育人质量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为认真贯彻国家和</w:t>
      </w:r>
      <w:r>
        <w:rPr>
          <w:rFonts w:hint="eastAsia" w:ascii="宋体" w:hAnsi="宋体" w:eastAsia="宋体" w:cs="宋体"/>
          <w:color w:val="000000"/>
          <w:sz w:val="24"/>
          <w:szCs w:val="24"/>
          <w:lang w:eastAsia="zh-CN"/>
        </w:rPr>
        <w:t>自治区</w:t>
      </w:r>
      <w:r>
        <w:rPr>
          <w:rFonts w:hint="eastAsia" w:ascii="宋体" w:hAnsi="宋体" w:eastAsia="宋体" w:cs="宋体"/>
          <w:color w:val="000000"/>
          <w:sz w:val="24"/>
          <w:szCs w:val="24"/>
        </w:rPr>
        <w:t>、市关于大力发展现代职业教育的有关政策和理念，全面推进职业教育改革，努力提升育人质量，我校强化人本观念，结合学生特点和学校实际，注重以 “五项育人”举措提升育人质量，即“教书育人、管理育人、服务育人、环境育人、活动育人”，收到明显效果。</w:t>
      </w:r>
      <w:bookmarkStart w:id="1" w:name="_Toc425438417"/>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一、实施背景</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校德育工作主要以班主任工作德育模式为主，由于班主任承担了大量的教育任务，工作量大，对学生课余时间的思想、生活引导力度明显不足。导致形成“头疼医头，脚疼医脚”、“千面一律”的教育方式，很难做到关注到每一位学生。因而，单一的班主任工作德育模式的成效直接影响到了学校的德育工作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另外，学校“重管理，轻服务” 的教育管理思想，虽然有所转变，但长期形成的只求“管住学生，维持秩序，不能出事”的意识仍然时常表现在日常管理之中。缺乏“以教育为中心，以服务为宗旨”的学生教育管理意识和氛围。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基于以上原因，我校决定突破德育瓶颈，全面开展“五项育人”德育教育，借助中职学生在校期间正是其世界观形成阶段并且可塑性强这一有利时机，有重点、有针对性地对他们开展德育教育，以培养出思想品德优良、</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"http://www.zwxz.com/"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专业</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知识扎实、综合素质全面的学生。</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1.围绕“提高学生文化素质，打造德育工作品牌”的工作目标，在学校各部门的齐抓共管下，通过“五项育人”提高学生文化素质的同时，把学生培养成“宽基础，高技能”的新型技能人才。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2.实现德育内容系列化、管理制度化、方法科学化、手段现代化的德育活动路径及策略。从而形成“教书育人、管理育人、服务育人、环境育人、活动育人”的五项育人德育教育模式。</w:t>
      </w:r>
      <w:bookmarkStart w:id="2" w:name="_Toc425438419"/>
    </w:p>
    <w:p>
      <w:pPr>
        <w:numPr>
          <w:ilvl w:val="0"/>
          <w:numId w:val="0"/>
        </w:numPr>
        <w:spacing w:line="640" w:lineRule="exact"/>
        <w:ind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三、“五项育人”的实施</w:t>
      </w:r>
      <w:bookmarkEnd w:id="2"/>
    </w:p>
    <w:p>
      <w:pPr>
        <w:spacing w:line="500" w:lineRule="atLeast"/>
        <w:outlineLvl w:val="1"/>
        <w:rPr>
          <w:rFonts w:hint="eastAsia" w:ascii="宋体" w:hAnsi="宋体" w:eastAsia="宋体" w:cs="宋体"/>
          <w:color w:val="000000"/>
          <w:sz w:val="24"/>
          <w:szCs w:val="24"/>
        </w:rPr>
      </w:pPr>
      <w:bookmarkStart w:id="3" w:name="_Toc425438420"/>
      <w:r>
        <w:rPr>
          <w:rFonts w:hint="eastAsia" w:ascii="宋体" w:hAnsi="宋体" w:eastAsia="宋体" w:cs="宋体"/>
          <w:color w:val="000000"/>
          <w:sz w:val="28"/>
          <w:szCs w:val="28"/>
        </w:rPr>
        <w:t xml:space="preserve">   </w:t>
      </w:r>
      <w:r>
        <w:rPr>
          <w:rFonts w:hint="eastAsia" w:ascii="宋体" w:hAnsi="宋体" w:eastAsia="宋体" w:cs="宋体"/>
          <w:color w:val="000000"/>
          <w:sz w:val="24"/>
          <w:szCs w:val="24"/>
        </w:rPr>
        <w:t xml:space="preserve"> 1.教书育人</w:t>
      </w:r>
      <w:bookmarkEnd w:id="3"/>
      <w:r>
        <w:rPr>
          <w:rFonts w:hint="eastAsia" w:ascii="宋体" w:hAnsi="宋体" w:eastAsia="宋体" w:cs="宋体"/>
          <w:color w:val="000000"/>
          <w:sz w:val="24"/>
          <w:szCs w:val="24"/>
        </w:rPr>
        <w:t>。古人云：“师者，所以传道授业解惑也。”也就是说，老师不只是简单的教书匠，还要教授学生为人处事的道理与主动学习的可贵品质。因此，我们在职业教育中，既强化“教书”，同时又强化“育人”。（1）贯彻改革理念，教好书。严格遵循现代职业教育理念，积极推进职业教育改革，遵循学生学习规律，调整专业设置，优化知识结构，构建科学合理的课程体系，推进人才培养模式、教学模式、评价模式等的改革创新，加强学生实践动手能力培养，提高专业教学质量。（2）培养职业素养，育好人。要求教师在教好书的同时，教会学生如何做人，教会学生如何树立正确的职业操守。为此，开设了政治思想教育课、礼仪课、医学伦理课等课程，强化学生政治思想教育和职业道德教育，提升学生综合素质，培养德艺双馨的医药卫生专业技术人才。</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4" w:name="_Toc425438421"/>
      <w:r>
        <w:rPr>
          <w:rFonts w:hint="eastAsia" w:ascii="宋体" w:hAnsi="宋体" w:eastAsia="宋体" w:cs="宋体"/>
          <w:color w:val="000000"/>
          <w:sz w:val="24"/>
          <w:szCs w:val="24"/>
        </w:rPr>
        <w:t>2.管理育人</w:t>
      </w:r>
      <w:bookmarkEnd w:id="4"/>
      <w:r>
        <w:rPr>
          <w:rFonts w:hint="eastAsia" w:ascii="宋体" w:hAnsi="宋体" w:eastAsia="宋体" w:cs="宋体"/>
          <w:color w:val="000000"/>
          <w:sz w:val="24"/>
          <w:szCs w:val="24"/>
        </w:rPr>
        <w:t>。在学生管理过程中，不断加强制度建设，相继制定了《学生文明</w:t>
      </w:r>
      <w:r>
        <w:rPr>
          <w:rFonts w:hint="eastAsia" w:ascii="宋体" w:hAnsi="宋体" w:eastAsia="宋体" w:cs="宋体"/>
          <w:color w:val="000000"/>
          <w:sz w:val="24"/>
          <w:szCs w:val="24"/>
          <w:lang w:eastAsia="zh-CN"/>
        </w:rPr>
        <w:t>语音</w:t>
      </w:r>
      <w:r>
        <w:rPr>
          <w:rFonts w:hint="eastAsia" w:ascii="宋体" w:hAnsi="宋体" w:eastAsia="宋体" w:cs="宋体"/>
          <w:color w:val="000000"/>
          <w:sz w:val="24"/>
          <w:szCs w:val="24"/>
        </w:rPr>
        <w:t>行为公约》、《学生文明行为公约》、《学生考勤制度》、《学生安全教育及管理规定》等一系列配套管理制度，强化制度管人，使学生管理工作实施有了良好的遵循和保障。学生在严格规范的制度管理下，学生逐步养成了良好生活行为习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5" w:name="_Toc425438422"/>
      <w:r>
        <w:rPr>
          <w:rFonts w:hint="eastAsia" w:ascii="宋体" w:hAnsi="宋体" w:eastAsia="宋体" w:cs="宋体"/>
          <w:color w:val="000000"/>
          <w:sz w:val="24"/>
          <w:szCs w:val="24"/>
        </w:rPr>
        <w:t>3.服务育</w:t>
      </w:r>
      <w:bookmarkEnd w:id="5"/>
      <w:r>
        <w:rPr>
          <w:rFonts w:hint="eastAsia" w:ascii="宋体" w:hAnsi="宋体" w:eastAsia="宋体" w:cs="宋体"/>
          <w:color w:val="000000"/>
          <w:sz w:val="24"/>
          <w:szCs w:val="24"/>
        </w:rPr>
        <w:t>人。教师在对学生的各项服务中，注重为人师表，以身作则，树立良好的职业形象，体现良好的服务水平，以“正能量”积极影响学生、引导学生，使学生在接受良好服务的同时，学会服务他人，为以后走上工作岗位服务患者、服务事业打下坚实基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6" w:name="_Toc425438423"/>
      <w:r>
        <w:rPr>
          <w:rFonts w:hint="eastAsia" w:ascii="宋体" w:hAnsi="宋体" w:eastAsia="宋体" w:cs="宋体"/>
          <w:color w:val="000000"/>
          <w:sz w:val="24"/>
          <w:szCs w:val="24"/>
        </w:rPr>
        <w:t>4.环境育</w:t>
      </w:r>
      <w:bookmarkEnd w:id="6"/>
      <w:r>
        <w:rPr>
          <w:rFonts w:hint="eastAsia" w:ascii="宋体" w:hAnsi="宋体" w:eastAsia="宋体" w:cs="宋体"/>
          <w:color w:val="000000"/>
          <w:sz w:val="24"/>
          <w:szCs w:val="24"/>
        </w:rPr>
        <w:t>人。以优美舒适的自然环境和优雅健康的人文环境对学生进行潜移默化的德育渗透。（1）校园环境。打造具有职教特色的校园育人环境。增强环保及生态建设意识等，从而达到“校园处处是教育，学生时时受熏染”的效果，充分发挥环境育人功效，使学生在潜移默化中，情操得到陶冶，素质得到提升。（2）人文环境。以贴近学生实际的校园文化氛围，提升育人品位和效果。一是布置有特色的软性环境。学校校园、走廊、教室、宣传橱窗除悬挂部分名人画像或标语性内容外，还通过学校板报、学习园地、校报、电子屏上进行一些学生技能大赛及获奖实景、专业介绍、校长与学生合影、优秀毕业生和优秀教师事迹等图片或宣传画的展示。这样既贴近学生实际，又生动活泼，使学生起到强化认知、树立目标、明确榜样、激励励志的效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7" w:name="_Toc425438424"/>
      <w:r>
        <w:rPr>
          <w:rFonts w:hint="eastAsia" w:ascii="宋体" w:hAnsi="宋体" w:eastAsia="宋体" w:cs="宋体"/>
          <w:color w:val="000000"/>
          <w:sz w:val="24"/>
          <w:szCs w:val="24"/>
        </w:rPr>
        <w:t>5.活动育人</w:t>
      </w:r>
      <w:bookmarkEnd w:id="7"/>
      <w:r>
        <w:rPr>
          <w:rFonts w:hint="eastAsia" w:ascii="宋体" w:hAnsi="宋体" w:eastAsia="宋体" w:cs="宋体"/>
          <w:color w:val="000000"/>
          <w:sz w:val="24"/>
          <w:szCs w:val="24"/>
        </w:rPr>
        <w:t>。积极开展丰富多彩的校园文化活动，陶冶学生情操。（</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）围绕专业学习开展活动。如：专业知识竞赛、技能竞赛、运动会等。（</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）结合政治教育开展活动。每逢大型节日或纪念日，不失时机地开展主题教育活动，加强思想政治教育。如：开展3.15“学雷锋”活动、庆“七.一”革命歌曲演唱会等，培养学生政治道德素质和爱国主义精神。（</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）针对学生性格特点，积极开展丰富多彩、寓教于乐的校园文化活动。如：校园主持人大赛、文艺晚会、趣味运动会、主题班会、“我爱我校”视频比赛活动等，陶冶学生情操，促进学生身心健康发展。</w:t>
      </w:r>
      <w:bookmarkStart w:id="8" w:name="_Toc425438429"/>
    </w:p>
    <w:p>
      <w:pPr>
        <w:spacing w:line="500" w:lineRule="atLeast"/>
        <w:rPr>
          <w:rFonts w:hint="eastAsia" w:ascii="宋体" w:hAnsi="宋体" w:eastAsia="宋体" w:cs="宋体"/>
          <w:b/>
          <w:bCs/>
          <w:color w:val="000000"/>
          <w:kern w:val="44"/>
          <w:sz w:val="28"/>
          <w:szCs w:val="28"/>
        </w:rPr>
      </w:pPr>
      <w:r>
        <w:rPr>
          <w:rFonts w:hint="eastAsia" w:ascii="宋体" w:hAnsi="宋体" w:eastAsia="宋体" w:cs="宋体"/>
          <w:b/>
          <w:bCs/>
          <w:color w:val="000000"/>
          <w:kern w:val="44"/>
          <w:sz w:val="28"/>
          <w:szCs w:val="28"/>
        </w:rPr>
        <w:t xml:space="preserve">    </w:t>
      </w:r>
      <w:r>
        <w:rPr>
          <w:rFonts w:hint="eastAsia" w:ascii="黑体" w:hAnsi="黑体" w:eastAsia="黑体" w:cs="黑体"/>
          <w:b w:val="0"/>
          <w:bCs/>
          <w:color w:val="000000"/>
          <w:sz w:val="28"/>
          <w:szCs w:val="28"/>
          <w:lang w:val="en-US" w:eastAsia="zh-CN"/>
        </w:rPr>
        <w:t>四、成果与辐射</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通过“五项育人”的实施，树立了教师队伍“专业有德育、德育为专业”的育人理念。建立了长效育人机制，优化了德育工作，突出了专业教育、社会公德、传统美德教育、校园文化、人文精神建设，切实为学生的全面发展提供了保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打造德育主力军——班主任队伍。打造了一支思想观念新、创新能力强、整体素质高的班主任队伍。古人云“染于苍则苍，染于黄则黄”，学生身上体现着教师的教育影响。教师的一举一动，一言一行，无不使学生耳濡目染，对学生起着潜移默化的熏陶作用。只有教师本人具有良好的个性品质，才能胜任新时期德育工作要求，以提高教学质量，从而提高学生综合素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形成了独具特色的校园文化阵地。初步形成了德育工作的整体氛围。我校的校园文化建设既体现了中职学校校园文化共性，又突显了我校的特色文化个性。这些建设内容包括：大力倡导团队合作精神，大力弘扬吃苦耐劳精神，培养团队协作能力；加强遵纪守法教育、诚信教育和职业道德教育、安全教育等。在办学过程中，逐渐培育闪光点，形成新特色，提炼校园优秀文化要素，形成独具特色的校园文化阵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 形成了积极的校园道德舆论。学校通过校园</w:t>
      </w:r>
      <w:r>
        <w:rPr>
          <w:rFonts w:hint="eastAsia" w:ascii="宋体" w:hAnsi="宋体" w:eastAsia="宋体" w:cs="宋体"/>
          <w:color w:val="000000"/>
          <w:sz w:val="24"/>
          <w:szCs w:val="24"/>
          <w:lang w:eastAsia="zh-CN"/>
        </w:rPr>
        <w:t>简报</w:t>
      </w:r>
      <w:r>
        <w:rPr>
          <w:rFonts w:hint="eastAsia" w:ascii="宋体" w:hAnsi="宋体" w:eastAsia="宋体" w:cs="宋体"/>
          <w:color w:val="000000"/>
          <w:sz w:val="24"/>
          <w:szCs w:val="24"/>
        </w:rPr>
        <w:t>、阅报栏、宣传橱窗、图书阅览室等各途径，营造出高格调、高品位、艺术性、思想性和理论性等特点的舆论宣传格局，使整个学校充满了正确的舆论气氛，从而促进优良校风的形成。培养和锻炼学生的“自我管理、自我教育、自我服务、自我提高”的意识和能力，形成了全方位、全过程的整体育人氛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bCs/>
          <w:color w:val="000000"/>
          <w:kern w:val="44"/>
          <w:sz w:val="28"/>
          <w:szCs w:val="28"/>
        </w:rPr>
      </w:pPr>
      <w:r>
        <w:rPr>
          <w:rFonts w:hint="eastAsia" w:ascii="宋体" w:hAnsi="宋体" w:eastAsia="宋体" w:cs="宋体"/>
          <w:color w:val="000000"/>
          <w:sz w:val="24"/>
          <w:szCs w:val="24"/>
        </w:rPr>
        <w:t>5. 形成了良好的校风和教育管理秩序。通过德育教育让学生认识到，作为当代青年，不仅要具备扎实的理论知识、广博的业务技能，更要具有崇高的理想、良好的品质和敢于拼博、勇于吃苦的精神。我校通过入学前教育暨军训，加强学生的组织纪律观念，培养专业兴趣，增强爱校意识，促进校风、学风建设；通过对学生进行军事化训练和管理，让学生亲身体验纪律严明的军事化训练，树立正确的信念和人生观，养成扎实过硬的作风和优良的道德品质，培养坚韧不拔的意志，继承艰苦奋斗的优良传统，从而以昂扬的斗志和焕然一新的精神风貌投入紧张而又充实的职业学校生活。</w:t>
      </w:r>
      <w:bookmarkStart w:id="9" w:name="_Toc425438430"/>
    </w:p>
    <w:p>
      <w:pPr>
        <w:numPr>
          <w:ilvl w:val="0"/>
          <w:numId w:val="0"/>
        </w:numPr>
        <w:spacing w:line="640" w:lineRule="exact"/>
        <w:ind w:left="0" w:leftChars="0"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五、体会与思考</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德育工作是一项长期而又艰巨的系统工程。教师与学生都是职校教育的对象，是德育新理念的新认识。教师既教学生，也教自己；学生既接受教育，也要影响教师。只有全体师生共同努力,才能创造和谐的德育氛围,构建中等职业教育绿色通道的方向——德育教育。作为职业教育者，应摆正自己对中等职业教育的思想认识，达到人教合一，为国家培养更多素质全面的全方位技能型人才，为学生的个性品质得到健康发展、综合素质得到全面提高提供坚强保证。</w:t>
      </w:r>
    </w:p>
    <w:p>
      <w:pPr>
        <w:spacing w:line="500" w:lineRule="atLeast"/>
        <w:jc w:val="left"/>
        <w:rPr>
          <w:rFonts w:hint="eastAsia" w:ascii="宋体" w:hAnsi="宋体" w:eastAsia="宋体" w:cs="宋体"/>
          <w:color w:val="000000"/>
          <w:sz w:val="28"/>
          <w:szCs w:val="28"/>
        </w:rPr>
      </w:pPr>
    </w:p>
    <w:p>
      <w:pPr>
        <w:spacing w:line="500" w:lineRule="atLeast"/>
        <w:jc w:val="left"/>
        <w:rPr>
          <w:rFonts w:hint="eastAsia" w:ascii="宋体" w:hAnsi="宋体" w:eastAsia="宋体" w:cs="宋体"/>
          <w:b/>
          <w:bCs/>
          <w:color w:val="000000"/>
          <w:sz w:val="28"/>
          <w:szCs w:val="28"/>
        </w:rPr>
      </w:pPr>
      <w:r>
        <w:rPr>
          <w:rFonts w:hint="eastAsia" w:ascii="宋体" w:hAnsi="宋体" w:cs="宋体"/>
          <w:b/>
          <w:bCs/>
          <w:color w:val="000000"/>
          <w:sz w:val="28"/>
          <w:szCs w:val="28"/>
          <w:lang w:val="en-US" w:eastAsia="zh-CN"/>
        </w:rPr>
        <w:t>7.2</w:t>
      </w:r>
      <w:r>
        <w:rPr>
          <w:rFonts w:hint="eastAsia" w:ascii="宋体" w:hAnsi="宋体" w:eastAsia="宋体" w:cs="宋体"/>
          <w:b/>
          <w:bCs/>
          <w:color w:val="000000"/>
          <w:sz w:val="28"/>
          <w:szCs w:val="28"/>
        </w:rPr>
        <w:t xml:space="preserve">案例二： </w:t>
      </w:r>
    </w:p>
    <w:p>
      <w:pPr>
        <w:tabs>
          <w:tab w:val="left" w:pos="6285"/>
        </w:tabs>
        <w:spacing w:line="500" w:lineRule="atLeast"/>
        <w:rPr>
          <w:rFonts w:hint="eastAsia" w:ascii="宋体" w:hAnsi="宋体" w:eastAsia="宋体" w:cs="宋体"/>
          <w:color w:val="000000"/>
          <w:kern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数字化校园改造升级  共享智慧校园E时代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p>
    <w:p>
      <w:pPr>
        <w:tabs>
          <w:tab w:val="left" w:pos="6285"/>
        </w:tabs>
        <w:spacing w:line="500" w:lineRule="atLeast"/>
        <w:ind w:firstLine="480" w:firstLineChars="200"/>
        <w:rPr>
          <w:rFonts w:hint="eastAsia" w:ascii="宋体" w:hAnsi="宋体" w:eastAsia="宋体" w:cs="宋体"/>
          <w:color w:val="000000"/>
          <w:kern w:val="0"/>
          <w:sz w:val="28"/>
          <w:szCs w:val="28"/>
        </w:rPr>
      </w:pPr>
      <w:r>
        <w:rPr>
          <w:rFonts w:hint="eastAsia" w:ascii="宋体" w:hAnsi="宋体" w:eastAsia="宋体" w:cs="宋体"/>
          <w:color w:val="000000"/>
          <w:sz w:val="24"/>
          <w:szCs w:val="24"/>
        </w:rPr>
        <w:t>学校着眼于全国职业教育改革发展趋势，结合教育部《教育信息化十年发展规划（2011-2020年）》要求，加大投入，把数字化校园建设列为信息化建设的重要工作。学校结合实际及战略发展方向，组织专人负责，制定各种规章制度，加大人力和资金投入，带领全体教师积极开展校园数字化改造升级建设，完善了数字化资源，拓展了学生知识视野，进一步推进了学校教育教学工作的发展。</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bookmarkStart w:id="10" w:name="_Toc429655273"/>
      <w:bookmarkStart w:id="11" w:name="_Toc428460196"/>
      <w:r>
        <w:rPr>
          <w:rFonts w:hint="eastAsia" w:ascii="黑体" w:hAnsi="黑体" w:eastAsia="黑体" w:cs="黑体"/>
          <w:b w:val="0"/>
          <w:bCs/>
          <w:color w:val="000000"/>
          <w:sz w:val="28"/>
          <w:szCs w:val="28"/>
          <w:lang w:val="en-US" w:eastAsia="zh-CN"/>
        </w:rPr>
        <w:t>一、实施背景</w:t>
      </w:r>
      <w:bookmarkEnd w:id="10"/>
      <w:bookmarkEnd w:id="11"/>
    </w:p>
    <w:p>
      <w:pPr>
        <w:tabs>
          <w:tab w:val="left" w:pos="6285"/>
        </w:tabs>
        <w:spacing w:line="500" w:lineRule="atLeast"/>
        <w:ind w:firstLine="480" w:firstLineChars="200"/>
        <w:rPr>
          <w:rFonts w:hint="eastAsia" w:ascii="宋体" w:hAnsi="宋体" w:eastAsia="宋体" w:cs="宋体"/>
          <w:color w:val="000000"/>
          <w:kern w:val="0"/>
          <w:sz w:val="28"/>
          <w:szCs w:val="28"/>
        </w:rPr>
      </w:pPr>
      <w:r>
        <w:rPr>
          <w:rFonts w:hint="eastAsia" w:ascii="宋体" w:hAnsi="宋体" w:eastAsia="宋体" w:cs="宋体"/>
          <w:color w:val="000000"/>
          <w:sz w:val="24"/>
          <w:szCs w:val="24"/>
        </w:rPr>
        <w:t>随着学校信息化建设工作的进一步推进，校园网上信息越来越多，应用也越来越多，逐步表现出学校管理与信息应用发展的滞后，学校原有网络在发展过程中的矛盾日益突出。日益扩大的招生规模与有限师资力量之间形成矛盾；全校信息资源有效利用与信息孤岛之间形成矛盾；师生一站式、个性化的服务需求与校园网服务局限性形成矛盾。</w:t>
      </w:r>
    </w:p>
    <w:p>
      <w:pPr>
        <w:tabs>
          <w:tab w:val="left" w:pos="6285"/>
        </w:tabs>
        <w:spacing w:line="500" w:lineRule="atLeast"/>
        <w:ind w:firstLine="480" w:firstLineChars="200"/>
        <w:rPr>
          <w:rFonts w:hint="eastAsia" w:ascii="宋体" w:hAnsi="宋体" w:eastAsia="宋体" w:cs="宋体"/>
          <w:color w:val="000000"/>
          <w:kern w:val="0"/>
          <w:sz w:val="28"/>
          <w:szCs w:val="28"/>
        </w:rPr>
      </w:pPr>
      <w:r>
        <w:rPr>
          <w:rFonts w:hint="eastAsia" w:ascii="宋体" w:hAnsi="宋体" w:eastAsia="宋体" w:cs="宋体"/>
          <w:color w:val="000000"/>
          <w:sz w:val="24"/>
          <w:szCs w:val="24"/>
        </w:rPr>
        <w:t>为解决上述矛盾，学校积极开展数字化校园建设，在原有校园网基础上升级和改造数字化校园，以提高教与学的效率为出发点，为学生提供自主合作探究学习的平台，创设丰富的教学环境、资源，打造出更好的为社会培养人才的环境。一方面解决教育均衡化问题，一方面提高教育教学质量和效率。以进一步促进教育教学改革，推进素质教育，全面提高学校现代化管理水平，培养满足时代需求的高素质技能型人才及学校教育信息化的发展趋势。</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bookmarkStart w:id="12" w:name="_Toc429655274"/>
      <w:bookmarkStart w:id="13" w:name="_Toc428460197"/>
      <w:r>
        <w:rPr>
          <w:rFonts w:hint="eastAsia" w:ascii="黑体" w:hAnsi="黑体" w:eastAsia="黑体" w:cs="黑体"/>
          <w:b w:val="0"/>
          <w:bCs/>
          <w:color w:val="000000"/>
          <w:sz w:val="28"/>
          <w:szCs w:val="28"/>
          <w:lang w:val="en-US" w:eastAsia="zh-CN"/>
        </w:rPr>
        <w:t>二、主要目标</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升级网络中心基础硬件设施，重新装配机房，扩展网络服务容量，提升网络安全机制，提高网络服务功能。通过更换骨干网设备，优化现有网络架构，增强骨干网的稳定性和容错能力，解决现有校园网存在的问题，为数字化校园的发展提供一个强大、稳定、灵活的基础网络平台。通过数字化校园改造升级的建设来降低自身的运营成本、提升效率，扩展师生服务，提升核心竞争力。</w:t>
      </w:r>
    </w:p>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bookmarkStart w:id="14" w:name="_Toc429655275"/>
      <w:bookmarkStart w:id="15" w:name="_Toc428460198"/>
      <w:r>
        <w:rPr>
          <w:rFonts w:hint="eastAsia" w:ascii="黑体" w:hAnsi="黑体" w:eastAsia="黑体" w:cs="黑体"/>
          <w:b w:val="0"/>
          <w:bCs/>
          <w:color w:val="000000"/>
          <w:sz w:val="28"/>
          <w:szCs w:val="28"/>
          <w:lang w:val="en-US" w:eastAsia="zh-CN"/>
        </w:rPr>
        <w:t>三、</w:t>
      </w:r>
      <w:bookmarkEnd w:id="14"/>
      <w:bookmarkEnd w:id="15"/>
      <w:r>
        <w:rPr>
          <w:rFonts w:hint="eastAsia" w:ascii="黑体" w:hAnsi="黑体" w:eastAsia="黑体" w:cs="黑体"/>
          <w:b w:val="0"/>
          <w:bCs/>
          <w:color w:val="000000"/>
          <w:sz w:val="28"/>
          <w:szCs w:val="28"/>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16" w:name="_Toc429655276"/>
      <w:r>
        <w:rPr>
          <w:rFonts w:hint="eastAsia" w:ascii="宋体" w:hAnsi="宋体" w:eastAsia="宋体" w:cs="宋体"/>
          <w:color w:val="000000"/>
          <w:sz w:val="24"/>
          <w:szCs w:val="24"/>
        </w:rPr>
        <w:t>1.主干网改造</w:t>
      </w:r>
      <w:bookmarkEnd w:id="16"/>
      <w:r>
        <w:rPr>
          <w:rFonts w:hint="eastAsia" w:ascii="宋体" w:hAnsi="宋体" w:eastAsia="宋体" w:cs="宋体"/>
          <w:color w:val="000000"/>
          <w:sz w:val="24"/>
          <w:szCs w:val="24"/>
        </w:rPr>
        <w:t>。通过与运营商的协商，将学校的总网络出口带宽扩至</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17" w:name="_Toc429655277"/>
      <w:r>
        <w:rPr>
          <w:rFonts w:hint="eastAsia" w:ascii="宋体" w:hAnsi="宋体" w:eastAsia="宋体" w:cs="宋体"/>
          <w:color w:val="000000"/>
          <w:sz w:val="24"/>
          <w:szCs w:val="24"/>
        </w:rPr>
        <w:t>2.网管、监控、安全系统建设</w:t>
      </w:r>
      <w:bookmarkEnd w:id="17"/>
      <w:r>
        <w:rPr>
          <w:rFonts w:hint="eastAsia" w:ascii="宋体" w:hAnsi="宋体" w:eastAsia="宋体" w:cs="宋体"/>
          <w:color w:val="000000"/>
          <w:sz w:val="24"/>
          <w:szCs w:val="24"/>
        </w:rPr>
        <w:t>。对现有中心机房电力及后备电池进行安全改造。</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18" w:name="_Toc429655278"/>
      <w:r>
        <w:rPr>
          <w:rFonts w:hint="eastAsia" w:ascii="宋体" w:hAnsi="宋体" w:eastAsia="宋体" w:cs="宋体"/>
          <w:color w:val="000000"/>
          <w:sz w:val="24"/>
          <w:szCs w:val="24"/>
        </w:rPr>
        <w:t>3.基础网络建设</w:t>
      </w:r>
      <w:bookmarkEnd w:id="18"/>
      <w:r>
        <w:rPr>
          <w:rFonts w:hint="eastAsia" w:ascii="宋体" w:hAnsi="宋体" w:eastAsia="宋体" w:cs="宋体"/>
          <w:color w:val="000000"/>
          <w:sz w:val="24"/>
          <w:szCs w:val="24"/>
        </w:rPr>
        <w:t>。建成覆盖实训室、实训基地、教学楼、办公区、会议室等所有公共区域的网络工程。</w:t>
      </w:r>
      <w:bookmarkStart w:id="19" w:name="_Toc429655279"/>
    </w:p>
    <w:bookmarkEnd w:id="19"/>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bookmarkStart w:id="20" w:name="_Toc429655285"/>
      <w:bookmarkStart w:id="21" w:name="_Toc428460203"/>
      <w:r>
        <w:rPr>
          <w:rFonts w:hint="eastAsia" w:ascii="黑体" w:hAnsi="黑体" w:eastAsia="黑体" w:cs="黑体"/>
          <w:b w:val="0"/>
          <w:bCs/>
          <w:color w:val="000000"/>
          <w:sz w:val="28"/>
          <w:szCs w:val="28"/>
          <w:lang w:val="en-US" w:eastAsia="zh-CN"/>
        </w:rPr>
        <w:t>四、成效与辐射作用</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数字化校园建设，既提高了学校整体的教育教学能力和水平，也提高了学生信息化应用能力，即丰富了师生校园文化生活，也提升了学校的社会形象和对外影响力，为深化学校教育教学改革与创新提供了有力支撑。</w:t>
      </w:r>
      <w:bookmarkStart w:id="22" w:name="_Toc428460204"/>
      <w:bookmarkStart w:id="23" w:name="_Toc429655286"/>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1.搭建教学应用平台，为师生提供完美的教与学体验</w:t>
      </w:r>
      <w:bookmarkEnd w:id="22"/>
      <w:bookmarkEnd w:id="23"/>
      <w:r>
        <w:rPr>
          <w:rFonts w:hint="eastAsia" w:ascii="宋体" w:hAnsi="宋体" w:eastAsia="宋体" w:cs="宋体"/>
          <w:color w:val="000000"/>
          <w:sz w:val="24"/>
          <w:szCs w:val="24"/>
        </w:rPr>
        <w:t>。学校对现有的教务管理系统进行了扩展升级，搭建了数字化校园应用平台，校园网在网络规模、网络传输能力、网络应用水平等各方面都提到了一个新的水平。网络规模覆盖整个学校的所有建筑；网络带宽扩展到了</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M，保证了流式媒体、多媒体及各种高带宽应用的数据交换，集成网络OA（办公自动化）系统，搭建了校内交流平台，方便内部沟通交流，改变了原有的办公理念，推进了无纸化办公。</w:t>
      </w:r>
      <w:bookmarkStart w:id="24" w:name="_Toc429655287"/>
      <w:bookmarkStart w:id="25" w:name="_Toc428460205"/>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2.学校管理、教学工作更上新台阶，实现无缝融合数字化校园</w:t>
      </w:r>
      <w:bookmarkEnd w:id="24"/>
      <w:bookmarkEnd w:id="25"/>
      <w:r>
        <w:rPr>
          <w:rFonts w:hint="eastAsia" w:ascii="宋体" w:hAnsi="宋体" w:eastAsia="宋体" w:cs="宋体"/>
          <w:color w:val="000000"/>
          <w:sz w:val="24"/>
          <w:szCs w:val="24"/>
        </w:rPr>
        <w:t>。数字化校园项目建设期间，网络终端进入教室，每个教室建成一个网络化的多媒体教学平台，可以随时进行多媒体教学；整个校园利用网络进行现代化办公、通信、管理，极大地丰富了学生的学习内容，提高了学生的学习积极性，满足了学生个性化学习的要求。</w:t>
      </w:r>
      <w:bookmarkStart w:id="26" w:name="_Toc428460206"/>
      <w:bookmarkStart w:id="27" w:name="_Toc429655288"/>
    </w:p>
    <w:bookmarkEnd w:id="26"/>
    <w:bookmarkEnd w:id="27"/>
    <w:p>
      <w:pPr>
        <w:numPr>
          <w:ilvl w:val="0"/>
          <w:numId w:val="0"/>
        </w:numPr>
        <w:spacing w:line="640" w:lineRule="exact"/>
        <w:ind w:leftChars="150"/>
        <w:jc w:val="left"/>
        <w:rPr>
          <w:rFonts w:hint="eastAsia" w:ascii="黑体" w:hAnsi="黑体" w:eastAsia="黑体" w:cs="黑体"/>
          <w:b w:val="0"/>
          <w:bCs/>
          <w:color w:val="000000"/>
          <w:sz w:val="28"/>
          <w:szCs w:val="28"/>
          <w:lang w:val="en-US" w:eastAsia="zh-CN"/>
        </w:rPr>
      </w:pPr>
      <w:bookmarkStart w:id="28" w:name="_Toc428460208"/>
      <w:bookmarkStart w:id="29" w:name="_Toc429655290"/>
      <w:r>
        <w:rPr>
          <w:rFonts w:hint="eastAsia" w:ascii="黑体" w:hAnsi="黑体" w:eastAsia="黑体" w:cs="黑体"/>
          <w:b w:val="0"/>
          <w:bCs/>
          <w:color w:val="000000"/>
          <w:sz w:val="28"/>
          <w:szCs w:val="28"/>
          <w:lang w:val="en-US" w:eastAsia="zh-CN"/>
        </w:rPr>
        <w:t>五、体会与思考</w:t>
      </w:r>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紧跟国家信息化教学动态，创智慧校园。数字化校园改造升级的建设给了我们很多启发，在教学信息化转型发展的背景下，学校教学形式要顺应这种变化，需要与社会信息化的步伐相匹配，但数字化校园的建成并不能满足信息的动态发展，期间技术标准可能已经有了更新变化，如何对待已有资源的动态变化这是需要思考的问题。为继续提升校园信息化水平，在完成数字化校园建设的同时，我们还将努力深入了解企业典型岗位的要求，深入了解学生学习心理，重点关注学生的有效学习以及创新和转变教学方式，对课程内容和授课形式进行整体设计，以服务教育教学作为基本理念，丰富教学资源，实现多种应用系统的有机集成，逐步实现智慧校园建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科学规划管理，数字化校园持续优化。随着教学信息化的深入，数字资源开发中理念、形式内容都会发生变化，这就需要对资源进行及时更新，需要时间、资金和人力的保障，为此学校打算从校园网络的升级改造建设整体上深入思考、进一步做好应用需求分析，科学规划，了解网络技术及产品情况，树立校园网建设是一项长期、持续的工程的理念，使数字化校园建设取得更好的成效。</w:t>
      </w:r>
    </w:p>
    <w:p>
      <w:pPr>
        <w:spacing w:line="500" w:lineRule="atLeast"/>
        <w:ind w:firstLine="560" w:firstLineChars="200"/>
        <w:jc w:val="left"/>
        <w:rPr>
          <w:rFonts w:hint="eastAsia" w:ascii="宋体" w:hAnsi="宋体" w:eastAsia="宋体" w:cs="宋体"/>
          <w:bCs/>
          <w:color w:val="000000"/>
          <w:sz w:val="28"/>
          <w:szCs w:val="28"/>
        </w:rPr>
      </w:pPr>
    </w:p>
    <w:p>
      <w:pPr>
        <w:rPr>
          <w:rFonts w:hint="eastAsia" w:ascii="宋体" w:hAnsi="宋体" w:eastAsia="宋体" w:cs="宋体"/>
          <w:bCs/>
          <w:color w:val="000000"/>
          <w:sz w:val="28"/>
          <w:szCs w:val="28"/>
        </w:rPr>
      </w:pPr>
      <w:r>
        <w:rPr>
          <w:rFonts w:hint="eastAsia" w:ascii="宋体" w:hAnsi="宋体" w:eastAsia="宋体" w:cs="宋体"/>
          <w:bCs/>
          <w:color w:val="000000"/>
          <w:sz w:val="28"/>
          <w:szCs w:val="28"/>
        </w:rPr>
        <w:br w:type="page"/>
      </w:r>
    </w:p>
    <w:p>
      <w:pPr>
        <w:spacing w:line="500" w:lineRule="atLeast"/>
        <w:jc w:val="left"/>
        <w:rPr>
          <w:rFonts w:hint="eastAsia" w:ascii="黑体" w:hAnsi="黑体" w:eastAsia="黑体" w:cs="黑体"/>
          <w:bCs/>
          <w:color w:val="000000"/>
          <w:sz w:val="36"/>
          <w:szCs w:val="36"/>
        </w:rPr>
      </w:pPr>
      <w:r>
        <w:rPr>
          <w:rFonts w:hint="eastAsia" w:ascii="黑体" w:hAnsi="黑体" w:eastAsia="黑体" w:cs="仿宋_GB2312"/>
          <w:bCs/>
          <w:color w:val="000000"/>
          <w:sz w:val="30"/>
          <w:szCs w:val="30"/>
          <w:lang w:val="en-US" w:eastAsia="zh-CN"/>
        </w:rPr>
        <w:t>9.主要问题和改进措施</w:t>
      </w:r>
    </w:p>
    <w:p>
      <w:pPr>
        <w:numPr>
          <w:ilvl w:val="0"/>
          <w:numId w:val="0"/>
        </w:numPr>
        <w:spacing w:line="640" w:lineRule="exact"/>
        <w:ind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9.1主要问题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校企合作深度还需进一步加强。主要问题存在两个方面：一是学校自身合作能力不强，企业参与动力不足。学校专业建设缺乏内涵、师资水平不高、现有的学科化教学安排不能与企业对接，导致企业参与积极性不高。二是国家政策的指导力度不够，缺乏体制、机制的保障。我国虽然重视校企合作，但是制定的相关政策对开展校企合作没有起到良好的保护和指导作用。现有的校企合作大多是短期的、不规范的、靠感情和人脉关系维系的低层次合作。在校企合作中对企业缺乏明确的奖励机制，企业利益得不到保护。国家没有建立专门的协调机构，制约了校企合作的开展，这些问题使得校企各作缺乏稳定性，合作深度不够，难以建立长效合作机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bookmarkStart w:id="30" w:name="_Toc447029701"/>
      <w:r>
        <w:rPr>
          <w:rFonts w:hint="eastAsia" w:ascii="宋体" w:hAnsi="宋体" w:eastAsia="宋体" w:cs="宋体"/>
          <w:color w:val="000000"/>
          <w:sz w:val="24"/>
          <w:szCs w:val="24"/>
        </w:rPr>
        <w:t>2.管理机制建设还需进一步深化</w:t>
      </w:r>
      <w:bookmarkEnd w:id="30"/>
      <w:r>
        <w:rPr>
          <w:rFonts w:hint="eastAsia" w:ascii="宋体" w:hAnsi="宋体" w:eastAsia="宋体" w:cs="宋体"/>
          <w:color w:val="000000"/>
          <w:sz w:val="24"/>
          <w:szCs w:val="24"/>
        </w:rPr>
        <w:t>。在良好的管理机制保障下，学校教育改革有了明显进步，但如何保持管理机制的长效性和先进性，保证教育质量稳步提升，是需要学校深入研究的重要课题和任务。要真正解决这些问题，还需要结合学校自身实际，进一步创新思路，深化措施，沉淀提高，使之成为学校的办学特色，并最终积淀成为办学传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信息化应用水平需进一步提高。我校通过近几年国家示范校建设，建成了数字化校园，信息化硬件建设水平有了较大提高，但在实际工作中的应用特别是在教学实践中的应用，和一些发达省份职业学校相比，还存在较大差距，主要表现为不会用、不熟练、不创新等方面，需要加强对教师的培训与指导，使其尽快转变观念，更新思想，掌握技术，全面提升信息化技术服务于教育教学的综合应用能力。</w:t>
      </w:r>
    </w:p>
    <w:p>
      <w:pPr>
        <w:numPr>
          <w:ilvl w:val="0"/>
          <w:numId w:val="0"/>
        </w:numPr>
        <w:spacing w:line="640" w:lineRule="exact"/>
        <w:ind w:firstLine="280" w:firstLineChars="100"/>
        <w:jc w:val="left"/>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9.2改进措施</w:t>
      </w:r>
    </w:p>
    <w:p>
      <w:pPr>
        <w:spacing w:line="5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政府层面制定激励措施促进校企合作。一方面鼓励学校积极主动适应市场要求，更新职业教育理念，深化教学内容和课程体系等一系列改革，提高教学质量与教学水平，培养综合素质、专业素质符合市场要求的中职人才，树立学校品牌，吸引企业主动与学校合作。另一方面，最大限度地激发企业参与校企合作的积极性。一是降低或补偿企业进行校企合作的成本，使企业在校企合作中获得短期或长期的效益。二是激发企业参与人才培养的主动性。加强教师与企业技术人员的互动，学校在教学计划的制订、教学内容的确定及教学方式方法的改革等方面为企业提供充分的参与机会，使企业主动地参与中职学校人才培养的全过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2.加强制度建设，进一步修订完善有关规章制度，建立健全有利推动学校职业教育发展的一整套制度，保障学校各项工作管理的规范化、科学化，从而保证学校持续健康协调发展。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3.进一步加大信息化建设投入，同时，加强师资培训，并通过开展现代化教学竞赛活动等方式，促进教师对现代化教学手段的广泛应用，不断提升学校信息化建设水平。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sz w:val="24"/>
          <w:szCs w:val="24"/>
        </w:rPr>
      </w:pPr>
    </w:p>
    <w:sectPr>
      <w:footerReference r:id="rId10" w:type="first"/>
      <w:footerReference r:id="rId9" w:type="default"/>
      <w:pgSz w:w="11906" w:h="16838"/>
      <w:pgMar w:top="1588" w:right="1701" w:bottom="1588" w:left="1701" w:header="851" w:footer="992"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- 36 -</w:t>
    </w:r>
    <w:r>
      <w:rPr>
        <w:rStyle w:val="7"/>
      </w:rPr>
      <w:fldChar w:fldCharType="end"/>
    </w:r>
  </w:p>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0830" cy="298450"/>
              <wp:effectExtent l="3175" t="0" r="127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0830" cy="298450"/>
                      </a:xfrm>
                      <a:prstGeom prst="rect">
                        <a:avLst/>
                      </a:prstGeom>
                      <a:noFill/>
                      <a:ln>
                        <a:noFill/>
                      </a:ln>
                    </wps:spPr>
                    <wps:txbx>
                      <w:txbxContent>
                        <w:p>
                          <w:pPr>
                            <w:rPr>
                              <w:rFonts w:ascii="宋体"/>
                              <w:sz w:val="28"/>
                              <w:szCs w:val="28"/>
                            </w:rPr>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3.5pt;width:22.9pt;mso-position-horizontal:center;mso-position-horizontal-relative:margin;z-index:251659264;mso-width-relative:page;mso-height-relative:page;" filled="f" stroked="f" coordsize="21600,21600" o:gfxdata="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DAhV9MAAAADAQAADwAAAAAAAAABACAAAAAiAAAA&#10;ZHJzL2Rvd25yZXYueG1sUEsBAhQAFAAAAAgAh07iQP7r0aUMAgAABAQAAA4AAAAAAAAAAQAgAAAA&#10;IgEAAGRycy9lMm9Eb2MueG1sUEsFBgAAAAAGAAYAWQEAAKAFAAAAAA==&#10;">
              <v:fill on="f" focussize="0,0"/>
              <v:stroke on="f"/>
              <v:imagedata o:title=""/>
              <o:lock v:ext="edit" aspectratio="f"/>
              <v:textbox inset="0mm,0mm,0mm,0mm">
                <w:txbxContent>
                  <w:p>
                    <w:pPr>
                      <w:rPr>
                        <w:rFonts w:asci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- 37 -</w: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kern w:val="0"/>
        <w:szCs w:val="21"/>
      </w:rPr>
      <w:t xml:space="preserve">- </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0830" cy="298450"/>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0830" cy="298450"/>
                      </a:xfrm>
                      <a:prstGeom prst="rect">
                        <a:avLst/>
                      </a:prstGeom>
                      <a:noFill/>
                      <a:ln>
                        <a:noFill/>
                      </a:ln>
                    </wps:spPr>
                    <wps:txbx>
                      <w:txbxContent>
                        <w:p>
                          <w:pPr>
                            <w:rPr>
                              <w:rFonts w:ascii="宋体"/>
                              <w:sz w:val="28"/>
                              <w:szCs w:val="28"/>
                            </w:rPr>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3.5pt;width:22.9pt;mso-position-horizontal:center;mso-position-horizontal-relative:margin;z-index:251663360;mso-width-relative:page;mso-height-relative:page;" filled="f" stroked="f" coordsize="21600,21600" o:gfxdata="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wIVfTAAAAAwEAAA8AAAAAAAAAAQAgAAAAIgAA&#10;AGRycy9kb3ducmV2LnhtbFBLAQIUABQAAAAIAIdO4kBgmxwbDQIAAAQEAAAOAAAAAAAAAAEAIAAA&#10;ACIBAABkcnMvZTJvRG9jLnhtbFBLBQYAAAAABgAGAFkBAAChBQAAAAA=&#10;">
              <v:fill on="f" focussize="0,0"/>
              <v:stroke on="f"/>
              <v:imagedata o:title=""/>
              <o:lock v:ext="edit" aspectratio="f"/>
              <v:textbox inset="0mm,0mm,0mm,0mm">
                <w:txbxContent>
                  <w:p>
                    <w:pPr>
                      <w:rPr>
                        <w:rFonts w:ascii="宋体"/>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kern w:val="0"/>
        <w:szCs w:val="21"/>
      </w:rPr>
      <w:t xml:space="preserve">- </w: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7"/>
                            </w:rPr>
                          </w:pPr>
                          <w:r>
                            <w:rPr>
                              <w:rStyle w:val="7"/>
                            </w:rPr>
                            <w:fldChar w:fldCharType="begin"/>
                          </w:r>
                          <w:r>
                            <w:rPr>
                              <w:rStyle w:val="7"/>
                            </w:rPr>
                            <w:instrText xml:space="preserve">PAGE  </w:instrText>
                          </w:r>
                          <w:r>
                            <w:rPr>
                              <w:rStyle w:val="7"/>
                            </w:rPr>
                            <w:fldChar w:fldCharType="separate"/>
                          </w:r>
                          <w:r>
                            <w:rPr>
                              <w:rStyle w:val="7"/>
                            </w:rPr>
                            <w:t>- 36 -</w:t>
                          </w:r>
                          <w:r>
                            <w:rPr>
                              <w:rStyle w:val="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7"/>
                      </w:rPr>
                    </w:pPr>
                    <w:r>
                      <w:rPr>
                        <w:rStyle w:val="7"/>
                      </w:rPr>
                      <w:fldChar w:fldCharType="begin"/>
                    </w:r>
                    <w:r>
                      <w:rPr>
                        <w:rStyle w:val="7"/>
                      </w:rPr>
                      <w:instrText xml:space="preserve">PAGE  </w:instrText>
                    </w:r>
                    <w:r>
                      <w:rPr>
                        <w:rStyle w:val="7"/>
                      </w:rPr>
                      <w:fldChar w:fldCharType="separate"/>
                    </w:r>
                    <w:r>
                      <w:rPr>
                        <w:rStyle w:val="7"/>
                      </w:rPr>
                      <w:t>- 36 -</w:t>
                    </w:r>
                    <w:r>
                      <w:rPr>
                        <w:rStyle w:val="7"/>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0830" cy="29845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0830" cy="298450"/>
                      </a:xfrm>
                      <a:prstGeom prst="rect">
                        <a:avLst/>
                      </a:prstGeom>
                      <a:noFill/>
                      <a:ln>
                        <a:noFill/>
                      </a:ln>
                    </wps:spPr>
                    <wps:txbx>
                      <w:txbxContent>
                        <w:p>
                          <w:pPr>
                            <w:rPr>
                              <w:rFonts w:ascii="宋体"/>
                              <w:sz w:val="28"/>
                              <w:szCs w:val="28"/>
                            </w:rPr>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3.5pt;width:22.9pt;mso-position-horizontal:center;mso-position-horizontal-relative:margin;z-index:251660288;mso-width-relative:page;mso-height-relative:page;" filled="f" stroked="f" coordsize="21600,21600" o:gfxdata="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wIVfTAAAAAwEAAA8AAAAAAAAAAQAgAAAAIgAA&#10;AGRycy9kb3ducmV2LnhtbFBLAQIUABQAAAAIAIdO4kC2jLw4DQIAAAQEAAAOAAAAAAAAAAEAIAAA&#10;ACIBAABkcnMvZTJvRG9jLnhtbFBLBQYAAAAABgAGAFkBAAChBQAAAAA=&#10;">
              <v:fill on="f" focussize="0,0"/>
              <v:stroke on="f"/>
              <v:imagedata o:title=""/>
              <o:lock v:ext="edit" aspectratio="f"/>
              <v:textbox inset="0mm,0mm,0mm,0mm">
                <w:txbxContent>
                  <w:p>
                    <w:pPr>
                      <w:rPr>
                        <w:rFonts w:ascii="宋体"/>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kern w:val="0"/>
        <w:szCs w:val="21"/>
      </w:rPr>
      <w:t xml:space="preserve">-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5A"/>
    <w:rsid w:val="00060B5A"/>
    <w:rsid w:val="00094AD3"/>
    <w:rsid w:val="000D75A0"/>
    <w:rsid w:val="000F1682"/>
    <w:rsid w:val="000F37BA"/>
    <w:rsid w:val="001476EE"/>
    <w:rsid w:val="00156F13"/>
    <w:rsid w:val="0026022A"/>
    <w:rsid w:val="00262DDC"/>
    <w:rsid w:val="00391D28"/>
    <w:rsid w:val="003D29E5"/>
    <w:rsid w:val="003F4DE7"/>
    <w:rsid w:val="004E2611"/>
    <w:rsid w:val="006B22F8"/>
    <w:rsid w:val="00755721"/>
    <w:rsid w:val="007E3EF0"/>
    <w:rsid w:val="0081319A"/>
    <w:rsid w:val="008231E6"/>
    <w:rsid w:val="00896AC2"/>
    <w:rsid w:val="008E5072"/>
    <w:rsid w:val="00986509"/>
    <w:rsid w:val="00A231E0"/>
    <w:rsid w:val="00B05AAE"/>
    <w:rsid w:val="00C25575"/>
    <w:rsid w:val="00CF4ED5"/>
    <w:rsid w:val="00D60218"/>
    <w:rsid w:val="00D86AC0"/>
    <w:rsid w:val="00DC33A0"/>
    <w:rsid w:val="00DD0D21"/>
    <w:rsid w:val="00DD6E3A"/>
    <w:rsid w:val="00E21355"/>
    <w:rsid w:val="00E27785"/>
    <w:rsid w:val="00E60D40"/>
    <w:rsid w:val="00EB3BEC"/>
    <w:rsid w:val="00EB71B0"/>
    <w:rsid w:val="00EC3048"/>
    <w:rsid w:val="00F13733"/>
    <w:rsid w:val="00F27C0B"/>
    <w:rsid w:val="00F56448"/>
    <w:rsid w:val="01BE1468"/>
    <w:rsid w:val="07081A10"/>
    <w:rsid w:val="080B67B9"/>
    <w:rsid w:val="08161C67"/>
    <w:rsid w:val="11A219F8"/>
    <w:rsid w:val="14217A06"/>
    <w:rsid w:val="17FB62E8"/>
    <w:rsid w:val="19397F9F"/>
    <w:rsid w:val="1A7B4AAD"/>
    <w:rsid w:val="1B465324"/>
    <w:rsid w:val="1C5E7E41"/>
    <w:rsid w:val="1E802ADA"/>
    <w:rsid w:val="216D6724"/>
    <w:rsid w:val="217D32FC"/>
    <w:rsid w:val="23CE1984"/>
    <w:rsid w:val="249F4492"/>
    <w:rsid w:val="26A20D29"/>
    <w:rsid w:val="26F015A2"/>
    <w:rsid w:val="27B478B3"/>
    <w:rsid w:val="28DC38C2"/>
    <w:rsid w:val="29E52087"/>
    <w:rsid w:val="2C040886"/>
    <w:rsid w:val="2E5F13C2"/>
    <w:rsid w:val="2F2C0AD4"/>
    <w:rsid w:val="2F5615A9"/>
    <w:rsid w:val="30B30DDC"/>
    <w:rsid w:val="32821FC4"/>
    <w:rsid w:val="32827D75"/>
    <w:rsid w:val="37813707"/>
    <w:rsid w:val="380B4369"/>
    <w:rsid w:val="39304030"/>
    <w:rsid w:val="3A1E0383"/>
    <w:rsid w:val="3B170B7E"/>
    <w:rsid w:val="4224216D"/>
    <w:rsid w:val="42C235FD"/>
    <w:rsid w:val="434713D3"/>
    <w:rsid w:val="44E977E0"/>
    <w:rsid w:val="45F20B61"/>
    <w:rsid w:val="46346C18"/>
    <w:rsid w:val="4ADB42C7"/>
    <w:rsid w:val="4DB06E9C"/>
    <w:rsid w:val="50B3096C"/>
    <w:rsid w:val="5443007F"/>
    <w:rsid w:val="577B7140"/>
    <w:rsid w:val="5B0F5D9A"/>
    <w:rsid w:val="5D4930BA"/>
    <w:rsid w:val="63C539C9"/>
    <w:rsid w:val="65C8064D"/>
    <w:rsid w:val="66052E26"/>
    <w:rsid w:val="66CE15BC"/>
    <w:rsid w:val="6C4466CC"/>
    <w:rsid w:val="6DCF03B7"/>
    <w:rsid w:val="71C6294E"/>
    <w:rsid w:val="74EE61BD"/>
    <w:rsid w:val="755E6576"/>
    <w:rsid w:val="76147FE8"/>
    <w:rsid w:val="775A6C22"/>
    <w:rsid w:val="78AC5CEF"/>
    <w:rsid w:val="798264DC"/>
    <w:rsid w:val="79F006ED"/>
    <w:rsid w:val="7A0B737F"/>
    <w:rsid w:val="7B465346"/>
    <w:rsid w:val="7B7A6E08"/>
    <w:rsid w:val="7BAA79AD"/>
    <w:rsid w:val="7C5F7A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customStyle="1" w:styleId="8">
    <w:name w:val="页眉 字符"/>
    <w:basedOn w:val="6"/>
    <w:link w:val="4"/>
    <w:locked/>
    <w:uiPriority w:val="99"/>
    <w:rPr>
      <w:rFonts w:ascii="Calibri" w:hAnsi="Calibri" w:eastAsia="宋体" w:cs="Times New Roman"/>
      <w:sz w:val="18"/>
      <w:szCs w:val="18"/>
    </w:rPr>
  </w:style>
  <w:style w:type="character" w:customStyle="1" w:styleId="9">
    <w:name w:val="页脚 字符"/>
    <w:basedOn w:val="6"/>
    <w:link w:val="3"/>
    <w:locked/>
    <w:uiPriority w:val="99"/>
    <w:rPr>
      <w:rFonts w:ascii="Calibri" w:hAnsi="Calibri" w:eastAsia="宋体" w:cs="Times New Roman"/>
      <w:sz w:val="18"/>
      <w:szCs w:val="18"/>
    </w:rPr>
  </w:style>
  <w:style w:type="character" w:customStyle="1" w:styleId="10">
    <w:name w:val="批注框文本 字符"/>
    <w:basedOn w:val="6"/>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A9EBE-2F52-4C99-9D90-8A39CAF9BC7F}">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2980</Words>
  <Characters>16989</Characters>
  <Lines>141</Lines>
  <Paragraphs>39</Paragraphs>
  <TotalTime>30</TotalTime>
  <ScaleCrop>false</ScaleCrop>
  <LinksUpToDate>false</LinksUpToDate>
  <CharactersWithSpaces>19930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2019-10-17T08:13:00Z</dcterms:created>
  <dc:creator>Administrator</dc:creator>
  <cp:lastModifiedBy>Administrator</cp:lastModifiedBy>
  <dcterms:modified xsi:type="dcterms:W3CDTF">2021-11-24T08:55:59Z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AD08AD8C1A4040008EEA3A2ED59843BC</vt:lpwstr>
  </property>
</Properties>
</file>