
<file path=[Content_Types].xml><?xml version="1.0" encoding="utf-8"?>
<Types xmlns="http://schemas.openxmlformats.org/package/2006/content-types">
  <Default Extension="wmf" ContentType="image/x-wmf"/>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hAnsi="黑体" w:eastAsia="黑体" w:cs="宋体"/>
          <w:b/>
          <w:kern w:val="0"/>
          <w:sz w:val="96"/>
          <w:szCs w:val="32"/>
        </w:rPr>
      </w:pPr>
    </w:p>
    <w:p>
      <w:pPr>
        <w:autoSpaceDE w:val="0"/>
        <w:autoSpaceDN w:val="0"/>
        <w:adjustRightInd w:val="0"/>
        <w:jc w:val="center"/>
        <w:rPr>
          <w:rFonts w:ascii="黑体" w:hAnsi="黑体" w:eastAsia="黑体" w:cs="宋体"/>
          <w:b/>
          <w:kern w:val="0"/>
          <w:sz w:val="72"/>
          <w:szCs w:val="72"/>
        </w:rPr>
      </w:pPr>
      <w:r>
        <w:rPr>
          <w:rFonts w:ascii="黑体" w:hAnsi="黑体" w:eastAsia="黑体" w:cs="宋体"/>
          <w:b/>
          <w:kern w:val="0"/>
          <w:sz w:val="72"/>
          <w:szCs w:val="72"/>
        </w:rPr>
        <w:t>质量年度报告</w:t>
      </w:r>
    </w:p>
    <w:p>
      <w:pPr>
        <w:autoSpaceDE w:val="0"/>
        <w:autoSpaceDN w:val="0"/>
        <w:adjustRightInd w:val="0"/>
        <w:jc w:val="center"/>
        <w:rPr>
          <w:rFonts w:ascii="黑体" w:hAnsi="黑体" w:eastAsia="黑体" w:cs="宋体"/>
          <w:b/>
          <w:kern w:val="0"/>
          <w:sz w:val="96"/>
          <w:szCs w:val="96"/>
        </w:rPr>
      </w:pPr>
      <w:r>
        <w:rPr>
          <w:rFonts w:hint="eastAsia" w:ascii="黑体" w:hAnsi="黑体" w:eastAsia="黑体" w:cs="宋体"/>
          <w:b/>
          <w:kern w:val="0"/>
          <w:sz w:val="52"/>
          <w:szCs w:val="52"/>
        </w:rPr>
        <w:t>（20</w:t>
      </w:r>
      <w:r>
        <w:rPr>
          <w:rFonts w:hint="eastAsia" w:ascii="黑体" w:hAnsi="黑体" w:eastAsia="黑体" w:cs="宋体"/>
          <w:b/>
          <w:kern w:val="0"/>
          <w:sz w:val="52"/>
          <w:szCs w:val="52"/>
          <w:lang w:val="en-US" w:eastAsia="zh-CN"/>
        </w:rPr>
        <w:t>21</w:t>
      </w:r>
      <w:r>
        <w:rPr>
          <w:rFonts w:hint="eastAsia" w:ascii="黑体" w:hAnsi="黑体" w:eastAsia="黑体" w:cs="宋体"/>
          <w:b/>
          <w:kern w:val="0"/>
          <w:sz w:val="52"/>
          <w:szCs w:val="52"/>
        </w:rPr>
        <w:t>）</w:t>
      </w: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autoSpaceDE w:val="0"/>
        <w:autoSpaceDN w:val="0"/>
        <w:adjustRightInd w:val="0"/>
        <w:jc w:val="center"/>
        <w:rPr>
          <w:rFonts w:hint="eastAsia" w:cs="宋体" w:asciiTheme="minorEastAsia" w:hAnsiTheme="minorEastAsia" w:eastAsiaTheme="minorEastAsia"/>
          <w:b/>
          <w:kern w:val="0"/>
          <w:sz w:val="40"/>
          <w:szCs w:val="32"/>
        </w:rPr>
      </w:pPr>
    </w:p>
    <w:p>
      <w:pPr>
        <w:keepNext w:val="0"/>
        <w:keepLines w:val="0"/>
        <w:pageBreakBefore w:val="0"/>
        <w:widowControl w:val="0"/>
        <w:kinsoku/>
        <w:wordWrap/>
        <w:overflowPunct/>
        <w:topLinePunct w:val="0"/>
        <w:autoSpaceDE w:val="0"/>
        <w:autoSpaceDN w:val="0"/>
        <w:bidi w:val="0"/>
        <w:adjustRightInd w:val="0"/>
        <w:snapToGrid/>
        <w:spacing w:line="460" w:lineRule="exact"/>
        <w:jc w:val="center"/>
        <w:textAlignment w:val="auto"/>
        <w:rPr>
          <w:rFonts w:hint="eastAsia" w:cs="宋体" w:asciiTheme="minorEastAsia" w:hAnsiTheme="minorEastAsia" w:eastAsiaTheme="minorEastAsia"/>
          <w:b/>
          <w:kern w:val="0"/>
          <w:sz w:val="40"/>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黑体" w:hAnsi="黑体" w:eastAsia="黑体" w:cs="宋体"/>
          <w:b/>
          <w:kern w:val="0"/>
          <w:sz w:val="48"/>
          <w:szCs w:val="48"/>
        </w:rPr>
      </w:pPr>
      <w:r>
        <w:rPr>
          <w:rFonts w:hint="eastAsia" w:cs="宋体" w:asciiTheme="minorEastAsia" w:hAnsiTheme="minorEastAsia" w:eastAsiaTheme="minorEastAsia"/>
          <w:b/>
          <w:kern w:val="0"/>
          <w:sz w:val="40"/>
          <w:szCs w:val="32"/>
        </w:rPr>
        <w:t>赤峰第一职业中等专业学校</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cs="宋体" w:asciiTheme="minorEastAsia" w:hAnsiTheme="minorEastAsia" w:eastAsiaTheme="minorEastAsia"/>
          <w:b/>
          <w:kern w:val="0"/>
          <w:sz w:val="40"/>
          <w:szCs w:val="32"/>
          <w:lang w:val="en-US" w:eastAsia="zh-CN"/>
        </w:rPr>
        <w:sectPr>
          <w:pgSz w:w="11906" w:h="16838"/>
          <w:pgMar w:top="1701" w:right="1418" w:bottom="1418" w:left="1701" w:header="851" w:footer="992" w:gutter="0"/>
          <w:cols w:space="425" w:num="1"/>
          <w:docGrid w:type="lines" w:linePitch="312" w:charSpace="0"/>
        </w:sectPr>
      </w:pPr>
      <w:r>
        <w:rPr>
          <w:rFonts w:hint="eastAsia" w:cs="宋体" w:asciiTheme="minorEastAsia" w:hAnsiTheme="minorEastAsia" w:eastAsiaTheme="minorEastAsia"/>
          <w:b/>
          <w:kern w:val="0"/>
          <w:sz w:val="40"/>
          <w:szCs w:val="32"/>
          <w:lang w:val="en-US" w:eastAsia="zh-CN"/>
        </w:rPr>
        <w:t>2021年12月</w:t>
      </w:r>
    </w:p>
    <w:p>
      <w:pPr>
        <w:autoSpaceDE w:val="0"/>
        <w:autoSpaceDN w:val="0"/>
        <w:adjustRightInd w:val="0"/>
        <w:jc w:val="center"/>
        <w:rPr>
          <w:rFonts w:ascii="黑体" w:hAnsi="黑体" w:eastAsia="黑体" w:cs="宋体"/>
          <w:b/>
          <w:kern w:val="0"/>
          <w:sz w:val="48"/>
          <w:szCs w:val="48"/>
        </w:rPr>
      </w:pPr>
      <w:r>
        <w:rPr>
          <w:rFonts w:hint="eastAsia" w:ascii="黑体" w:hAnsi="黑体" w:eastAsia="黑体" w:cs="宋体"/>
          <w:b/>
          <w:kern w:val="0"/>
          <w:sz w:val="48"/>
          <w:szCs w:val="48"/>
        </w:rPr>
        <w:t>目    录</w:t>
      </w:r>
    </w:p>
    <w:p>
      <w:pPr>
        <w:autoSpaceDE w:val="0"/>
        <w:autoSpaceDN w:val="0"/>
        <w:adjustRightInd w:val="0"/>
        <w:spacing w:line="420" w:lineRule="exact"/>
        <w:ind w:firstLine="480" w:firstLineChars="200"/>
        <w:jc w:val="left"/>
        <w:rPr>
          <w:rFonts w:ascii="黑体" w:hAnsi="黑体" w:eastAsia="黑体" w:cs="宋体"/>
          <w:kern w:val="0"/>
          <w:sz w:val="24"/>
          <w:szCs w:val="24"/>
        </w:rPr>
      </w:pPr>
      <w:r>
        <w:rPr>
          <w:rFonts w:ascii="黑体" w:hAnsi="黑体" w:eastAsia="黑体" w:cs="宋体"/>
          <w:kern w:val="0"/>
          <w:sz w:val="24"/>
          <w:szCs w:val="24"/>
        </w:rPr>
        <w:t>1.</w:t>
      </w:r>
      <w:r>
        <w:rPr>
          <w:rFonts w:hint="eastAsia" w:ascii="黑体" w:hAnsi="黑体" w:eastAsia="黑体" w:cs="宋体"/>
          <w:kern w:val="0"/>
          <w:sz w:val="24"/>
          <w:szCs w:val="24"/>
        </w:rPr>
        <w:t>学校情况…………………………………………………………………………</w:t>
      </w:r>
      <w:r>
        <w:rPr>
          <w:rFonts w:ascii="黑体" w:hAnsi="黑体" w:eastAsia="黑体" w:cs="宋体"/>
          <w:kern w:val="0"/>
          <w:sz w:val="24"/>
          <w:szCs w:val="24"/>
        </w:rPr>
        <w:t>1</w:t>
      </w:r>
    </w:p>
    <w:p>
      <w:pPr>
        <w:autoSpaceDE w:val="0"/>
        <w:autoSpaceDN w:val="0"/>
        <w:adjustRightInd w:val="0"/>
        <w:spacing w:line="420" w:lineRule="exact"/>
        <w:ind w:firstLine="480" w:firstLineChars="200"/>
        <w:jc w:val="left"/>
        <w:rPr>
          <w:rFonts w:ascii="黑体" w:hAnsi="黑体" w:eastAsia="黑体" w:cs="宋体"/>
          <w:kern w:val="0"/>
          <w:sz w:val="24"/>
          <w:szCs w:val="24"/>
        </w:rPr>
      </w:pPr>
      <w:r>
        <w:rPr>
          <w:rFonts w:ascii="黑体" w:hAnsi="黑体" w:eastAsia="黑体" w:cs="宋体"/>
          <w:kern w:val="0"/>
          <w:sz w:val="24"/>
          <w:szCs w:val="24"/>
        </w:rPr>
        <w:t xml:space="preserve">1.1 </w:t>
      </w:r>
      <w:r>
        <w:rPr>
          <w:rFonts w:hint="eastAsia" w:ascii="黑体" w:hAnsi="黑体" w:eastAsia="黑体" w:cs="宋体"/>
          <w:kern w:val="0"/>
          <w:sz w:val="24"/>
          <w:szCs w:val="24"/>
        </w:rPr>
        <w:t>学校概况………………………………………………………………………</w:t>
      </w:r>
      <w:r>
        <w:rPr>
          <w:rFonts w:ascii="黑体" w:hAnsi="黑体" w:eastAsia="黑体" w:cs="宋体"/>
          <w:kern w:val="0"/>
          <w:sz w:val="24"/>
          <w:szCs w:val="24"/>
        </w:rPr>
        <w:t>1</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ascii="黑体" w:hAnsi="黑体" w:eastAsia="黑体" w:cs="宋体"/>
          <w:kern w:val="0"/>
          <w:sz w:val="24"/>
          <w:szCs w:val="24"/>
        </w:rPr>
        <w:t xml:space="preserve">1.2 </w:t>
      </w:r>
      <w:r>
        <w:rPr>
          <w:rFonts w:hint="eastAsia" w:ascii="黑体" w:hAnsi="黑体" w:eastAsia="黑体" w:cs="宋体"/>
          <w:kern w:val="0"/>
          <w:sz w:val="24"/>
          <w:szCs w:val="24"/>
          <w:lang w:eastAsia="zh-CN"/>
        </w:rPr>
        <w:t>设施设备</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3</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ascii="黑体" w:hAnsi="黑体" w:eastAsia="黑体" w:cs="宋体"/>
          <w:kern w:val="0"/>
          <w:sz w:val="24"/>
          <w:szCs w:val="24"/>
        </w:rPr>
        <w:t xml:space="preserve">1.3 </w:t>
      </w:r>
      <w:r>
        <w:rPr>
          <w:rFonts w:hint="eastAsia" w:ascii="黑体" w:hAnsi="黑体" w:eastAsia="黑体" w:cs="宋体"/>
          <w:kern w:val="0"/>
          <w:sz w:val="24"/>
          <w:szCs w:val="24"/>
        </w:rPr>
        <w:t>教师队伍………………………………………………………………………</w:t>
      </w:r>
      <w:r>
        <w:rPr>
          <w:rFonts w:hint="eastAsia" w:ascii="黑体" w:hAnsi="黑体" w:eastAsia="黑体" w:cs="宋体"/>
          <w:kern w:val="0"/>
          <w:sz w:val="24"/>
          <w:szCs w:val="24"/>
          <w:lang w:val="en-US" w:eastAsia="zh-CN"/>
        </w:rPr>
        <w:t>5</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ascii="黑体" w:hAnsi="黑体" w:eastAsia="黑体" w:cs="宋体"/>
          <w:kern w:val="0"/>
          <w:sz w:val="24"/>
          <w:szCs w:val="24"/>
        </w:rPr>
        <w:t xml:space="preserve">1.4 </w:t>
      </w:r>
      <w:r>
        <w:rPr>
          <w:rFonts w:hint="eastAsia" w:ascii="黑体" w:hAnsi="黑体" w:eastAsia="黑体" w:cs="宋体"/>
          <w:kern w:val="0"/>
          <w:sz w:val="24"/>
          <w:szCs w:val="24"/>
          <w:lang w:eastAsia="zh-CN"/>
        </w:rPr>
        <w:t>信息化建设</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6</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1.5 实训基地建设</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7</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1.6 提质培优任务（项目）建设情况</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8</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ascii="黑体" w:hAnsi="黑体" w:eastAsia="黑体" w:cs="宋体"/>
          <w:kern w:val="0"/>
          <w:sz w:val="24"/>
          <w:szCs w:val="24"/>
        </w:rPr>
        <w:t>2.</w:t>
      </w:r>
      <w:r>
        <w:rPr>
          <w:rFonts w:hint="eastAsia" w:ascii="黑体" w:hAnsi="黑体" w:eastAsia="黑体" w:cs="宋体"/>
          <w:kern w:val="0"/>
          <w:sz w:val="24"/>
          <w:szCs w:val="24"/>
        </w:rPr>
        <w:t>学生发展…………………………………………………………………………</w:t>
      </w:r>
      <w:r>
        <w:rPr>
          <w:rFonts w:hint="eastAsia" w:ascii="黑体" w:hAnsi="黑体" w:eastAsia="黑体" w:cs="宋体"/>
          <w:kern w:val="0"/>
          <w:sz w:val="24"/>
          <w:szCs w:val="24"/>
          <w:lang w:val="en-US" w:eastAsia="zh-CN"/>
        </w:rPr>
        <w:t>9</w:t>
      </w:r>
    </w:p>
    <w:p>
      <w:pPr>
        <w:autoSpaceDE w:val="0"/>
        <w:autoSpaceDN w:val="0"/>
        <w:adjustRightInd w:val="0"/>
        <w:spacing w:line="420" w:lineRule="exact"/>
        <w:ind w:firstLine="480" w:firstLineChars="200"/>
        <w:jc w:val="left"/>
        <w:rPr>
          <w:rFonts w:hint="eastAsia" w:ascii="黑体" w:hAnsi="黑体" w:eastAsia="黑体" w:cs="宋体"/>
          <w:kern w:val="0"/>
          <w:sz w:val="24"/>
          <w:szCs w:val="24"/>
          <w:lang w:val="en-US" w:eastAsia="zh-CN"/>
        </w:rPr>
      </w:pPr>
      <w:r>
        <w:rPr>
          <w:rFonts w:ascii="黑体" w:hAnsi="黑体" w:eastAsia="黑体" w:cs="宋体"/>
          <w:kern w:val="0"/>
          <w:sz w:val="24"/>
          <w:szCs w:val="24"/>
        </w:rPr>
        <w:t xml:space="preserve">2.1 </w:t>
      </w:r>
      <w:r>
        <w:rPr>
          <w:rFonts w:hint="eastAsia" w:ascii="黑体" w:hAnsi="黑体" w:eastAsia="黑体" w:cs="宋体"/>
          <w:kern w:val="0"/>
          <w:sz w:val="24"/>
          <w:szCs w:val="24"/>
        </w:rPr>
        <w:t>学生素质………………………………………………………………………</w:t>
      </w:r>
      <w:r>
        <w:rPr>
          <w:rFonts w:hint="eastAsia" w:ascii="黑体" w:hAnsi="黑体" w:eastAsia="黑体" w:cs="宋体"/>
          <w:kern w:val="0"/>
          <w:sz w:val="24"/>
          <w:szCs w:val="24"/>
          <w:lang w:val="en-US" w:eastAsia="zh-CN"/>
        </w:rPr>
        <w:t>9</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2.2 </w:t>
      </w:r>
      <w:r>
        <w:rPr>
          <w:rFonts w:hint="eastAsia" w:ascii="黑体" w:hAnsi="黑体" w:eastAsia="黑体" w:cs="宋体"/>
          <w:kern w:val="0"/>
          <w:sz w:val="24"/>
          <w:szCs w:val="24"/>
        </w:rPr>
        <w:t>在校体验………………………………………………………………………</w:t>
      </w:r>
      <w:r>
        <w:rPr>
          <w:rFonts w:hint="eastAsia" w:ascii="黑体" w:hAnsi="黑体" w:eastAsia="黑体" w:cs="宋体"/>
          <w:kern w:val="0"/>
          <w:sz w:val="24"/>
          <w:szCs w:val="24"/>
          <w:lang w:val="en-US" w:eastAsia="zh-CN"/>
        </w:rPr>
        <w:t>10</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2.3 </w:t>
      </w:r>
      <w:r>
        <w:rPr>
          <w:rFonts w:hint="eastAsia" w:ascii="黑体" w:hAnsi="黑体" w:eastAsia="黑体" w:cs="宋体"/>
          <w:kern w:val="0"/>
          <w:sz w:val="24"/>
          <w:szCs w:val="24"/>
        </w:rPr>
        <w:t>资助情况………………………………………………………………………</w:t>
      </w:r>
      <w:r>
        <w:rPr>
          <w:rFonts w:hint="eastAsia" w:ascii="黑体" w:hAnsi="黑体" w:eastAsia="黑体" w:cs="宋体"/>
          <w:kern w:val="0"/>
          <w:sz w:val="24"/>
          <w:szCs w:val="24"/>
          <w:lang w:val="en-US" w:eastAsia="zh-CN"/>
        </w:rPr>
        <w:t>11</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2.4 </w:t>
      </w:r>
      <w:r>
        <w:rPr>
          <w:rFonts w:hint="eastAsia" w:ascii="黑体" w:hAnsi="黑体" w:eastAsia="黑体" w:cs="宋体"/>
          <w:kern w:val="0"/>
          <w:sz w:val="24"/>
          <w:szCs w:val="24"/>
        </w:rPr>
        <w:t>就业质量………………………………………………………………………</w:t>
      </w:r>
      <w:r>
        <w:rPr>
          <w:rFonts w:hint="eastAsia" w:ascii="黑体" w:hAnsi="黑体" w:eastAsia="黑体" w:cs="宋体"/>
          <w:kern w:val="0"/>
          <w:sz w:val="24"/>
          <w:szCs w:val="24"/>
          <w:lang w:val="en-US" w:eastAsia="zh-CN"/>
        </w:rPr>
        <w:t>11</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2.5 职业发展</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13</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rPr>
        <w:t>质量保障措施……………………………………………………………………</w:t>
      </w:r>
      <w:r>
        <w:rPr>
          <w:rFonts w:hint="eastAsia" w:ascii="黑体" w:hAnsi="黑体" w:eastAsia="黑体" w:cs="宋体"/>
          <w:kern w:val="0"/>
          <w:sz w:val="24"/>
          <w:szCs w:val="24"/>
          <w:lang w:val="en-US" w:eastAsia="zh-CN"/>
        </w:rPr>
        <w:t>14</w:t>
      </w:r>
    </w:p>
    <w:p>
      <w:pPr>
        <w:autoSpaceDE w:val="0"/>
        <w:autoSpaceDN w:val="0"/>
        <w:adjustRightInd w:val="0"/>
        <w:spacing w:line="420" w:lineRule="exact"/>
        <w:ind w:firstLine="480" w:firstLineChars="200"/>
        <w:jc w:val="both"/>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3.1 铸牢中华民族共同体意识</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14</w:t>
      </w:r>
    </w:p>
    <w:p>
      <w:pPr>
        <w:autoSpaceDE w:val="0"/>
        <w:autoSpaceDN w:val="0"/>
        <w:adjustRightInd w:val="0"/>
        <w:spacing w:line="420" w:lineRule="exact"/>
        <w:ind w:firstLine="480" w:firstLineChars="200"/>
        <w:jc w:val="both"/>
        <w:rPr>
          <w:rFonts w:hint="eastAsia"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2</w:t>
      </w:r>
      <w:r>
        <w:rPr>
          <w:rFonts w:ascii="黑体" w:hAnsi="黑体" w:eastAsia="黑体" w:cs="宋体"/>
          <w:kern w:val="0"/>
          <w:sz w:val="24"/>
          <w:szCs w:val="24"/>
        </w:rPr>
        <w:t xml:space="preserve"> </w:t>
      </w:r>
      <w:r>
        <w:rPr>
          <w:rFonts w:hint="eastAsia" w:ascii="黑体" w:hAnsi="黑体" w:eastAsia="黑体" w:cs="宋体"/>
          <w:kern w:val="0"/>
          <w:sz w:val="24"/>
          <w:szCs w:val="24"/>
        </w:rPr>
        <w:t>专业</w:t>
      </w:r>
      <w:r>
        <w:rPr>
          <w:rFonts w:hint="eastAsia" w:ascii="黑体" w:hAnsi="黑体" w:eastAsia="黑体" w:cs="宋体"/>
          <w:kern w:val="0"/>
          <w:sz w:val="24"/>
          <w:szCs w:val="24"/>
          <w:lang w:eastAsia="zh-CN"/>
        </w:rPr>
        <w:t>布局</w:t>
      </w:r>
      <w:r>
        <w:rPr>
          <w:rFonts w:hint="eastAsia" w:ascii="黑体" w:hAnsi="黑体" w:eastAsia="黑体" w:cs="宋体"/>
          <w:kern w:val="0"/>
          <w:sz w:val="24"/>
          <w:szCs w:val="24"/>
        </w:rPr>
        <w:t>………………………………………………………………………</w:t>
      </w:r>
      <w:r>
        <w:rPr>
          <w:rFonts w:ascii="黑体" w:hAnsi="黑体" w:eastAsia="黑体" w:cs="宋体"/>
          <w:kern w:val="0"/>
          <w:sz w:val="24"/>
          <w:szCs w:val="24"/>
        </w:rPr>
        <w:t>1</w:t>
      </w:r>
      <w:r>
        <w:rPr>
          <w:rFonts w:hint="eastAsia" w:ascii="黑体" w:hAnsi="黑体" w:eastAsia="黑体" w:cs="宋体"/>
          <w:kern w:val="0"/>
          <w:sz w:val="24"/>
          <w:szCs w:val="24"/>
          <w:lang w:val="en-US" w:eastAsia="zh-CN"/>
        </w:rPr>
        <w:t>5</w:t>
      </w:r>
    </w:p>
    <w:p>
      <w:pPr>
        <w:autoSpaceDE w:val="0"/>
        <w:autoSpaceDN w:val="0"/>
        <w:adjustRightInd w:val="0"/>
        <w:spacing w:line="420" w:lineRule="exact"/>
        <w:ind w:firstLine="480" w:firstLineChars="200"/>
        <w:jc w:val="both"/>
        <w:rPr>
          <w:rFonts w:hint="eastAsia"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3</w:t>
      </w:r>
      <w:r>
        <w:rPr>
          <w:rFonts w:ascii="黑体" w:hAnsi="黑体" w:eastAsia="黑体" w:cs="宋体"/>
          <w:kern w:val="0"/>
          <w:sz w:val="24"/>
          <w:szCs w:val="24"/>
        </w:rPr>
        <w:t xml:space="preserve"> </w:t>
      </w:r>
      <w:r>
        <w:rPr>
          <w:rFonts w:hint="eastAsia" w:ascii="黑体" w:hAnsi="黑体" w:eastAsia="黑体" w:cs="宋体"/>
          <w:kern w:val="0"/>
          <w:sz w:val="24"/>
          <w:szCs w:val="24"/>
        </w:rPr>
        <w:t>教育教学改革…………………………………………………………………</w:t>
      </w:r>
      <w:r>
        <w:rPr>
          <w:rFonts w:ascii="黑体" w:hAnsi="黑体" w:eastAsia="黑体" w:cs="宋体"/>
          <w:kern w:val="0"/>
          <w:sz w:val="24"/>
          <w:szCs w:val="24"/>
        </w:rPr>
        <w:t>1</w:t>
      </w:r>
      <w:r>
        <w:rPr>
          <w:rFonts w:hint="eastAsia" w:ascii="黑体" w:hAnsi="黑体" w:eastAsia="黑体" w:cs="宋体"/>
          <w:kern w:val="0"/>
          <w:sz w:val="24"/>
          <w:szCs w:val="24"/>
          <w:lang w:val="en-US" w:eastAsia="zh-CN"/>
        </w:rPr>
        <w:t>6</w:t>
      </w:r>
    </w:p>
    <w:p>
      <w:pPr>
        <w:autoSpaceDE w:val="0"/>
        <w:autoSpaceDN w:val="0"/>
        <w:adjustRightInd w:val="0"/>
        <w:spacing w:line="420" w:lineRule="exact"/>
        <w:ind w:firstLine="480" w:firstLineChars="200"/>
        <w:jc w:val="both"/>
        <w:rPr>
          <w:rFonts w:hint="eastAsia"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4</w:t>
      </w:r>
      <w:r>
        <w:rPr>
          <w:rFonts w:ascii="黑体" w:hAnsi="黑体" w:eastAsia="黑体" w:cs="宋体"/>
          <w:kern w:val="0"/>
          <w:sz w:val="24"/>
          <w:szCs w:val="24"/>
        </w:rPr>
        <w:t xml:space="preserve"> </w:t>
      </w:r>
      <w:r>
        <w:rPr>
          <w:rFonts w:hint="eastAsia" w:ascii="黑体" w:hAnsi="黑体" w:eastAsia="黑体" w:cs="宋体"/>
          <w:kern w:val="0"/>
          <w:sz w:val="24"/>
          <w:szCs w:val="24"/>
        </w:rPr>
        <w:t>教师培养培训…………………………………………………………………</w:t>
      </w:r>
      <w:r>
        <w:rPr>
          <w:rFonts w:ascii="黑体" w:hAnsi="黑体" w:eastAsia="黑体" w:cs="宋体"/>
          <w:kern w:val="0"/>
          <w:sz w:val="24"/>
          <w:szCs w:val="24"/>
        </w:rPr>
        <w:t>1</w:t>
      </w:r>
      <w:r>
        <w:rPr>
          <w:rFonts w:hint="eastAsia" w:ascii="黑体" w:hAnsi="黑体" w:eastAsia="黑体" w:cs="宋体"/>
          <w:kern w:val="0"/>
          <w:sz w:val="24"/>
          <w:szCs w:val="24"/>
          <w:lang w:val="en-US" w:eastAsia="zh-CN"/>
        </w:rPr>
        <w:t>6</w:t>
      </w:r>
    </w:p>
    <w:p>
      <w:pPr>
        <w:autoSpaceDE w:val="0"/>
        <w:autoSpaceDN w:val="0"/>
        <w:adjustRightInd w:val="0"/>
        <w:spacing w:line="420" w:lineRule="exact"/>
        <w:ind w:firstLine="480" w:firstLineChars="200"/>
        <w:jc w:val="both"/>
        <w:rPr>
          <w:rFonts w:hint="default"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5</w:t>
      </w:r>
      <w:r>
        <w:rPr>
          <w:rFonts w:ascii="黑体" w:hAnsi="黑体" w:eastAsia="黑体" w:cs="宋体"/>
          <w:kern w:val="0"/>
          <w:sz w:val="24"/>
          <w:szCs w:val="24"/>
        </w:rPr>
        <w:t xml:space="preserve"> </w:t>
      </w:r>
      <w:r>
        <w:rPr>
          <w:rFonts w:hint="eastAsia" w:ascii="黑体" w:hAnsi="黑体" w:eastAsia="黑体" w:cs="宋体"/>
          <w:kern w:val="0"/>
          <w:sz w:val="24"/>
          <w:szCs w:val="24"/>
        </w:rPr>
        <w:t>规范管理</w:t>
      </w:r>
      <w:r>
        <w:rPr>
          <w:rFonts w:hint="eastAsia" w:ascii="黑体" w:hAnsi="黑体" w:eastAsia="黑体" w:cs="宋体"/>
          <w:kern w:val="0"/>
          <w:sz w:val="24"/>
          <w:szCs w:val="24"/>
          <w:lang w:eastAsia="zh-CN"/>
        </w:rPr>
        <w:t>情况</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19</w:t>
      </w:r>
    </w:p>
    <w:p>
      <w:pPr>
        <w:autoSpaceDE w:val="0"/>
        <w:autoSpaceDN w:val="0"/>
        <w:adjustRightInd w:val="0"/>
        <w:spacing w:line="420" w:lineRule="exact"/>
        <w:ind w:firstLine="480" w:firstLineChars="200"/>
        <w:jc w:val="both"/>
        <w:rPr>
          <w:rFonts w:hint="default"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6</w:t>
      </w:r>
      <w:r>
        <w:rPr>
          <w:rFonts w:ascii="黑体" w:hAnsi="黑体" w:eastAsia="黑体" w:cs="宋体"/>
          <w:kern w:val="0"/>
          <w:sz w:val="24"/>
          <w:szCs w:val="24"/>
        </w:rPr>
        <w:t xml:space="preserve"> </w:t>
      </w:r>
      <w:r>
        <w:rPr>
          <w:rFonts w:hint="eastAsia" w:ascii="黑体" w:hAnsi="黑体" w:eastAsia="黑体" w:cs="宋体"/>
          <w:kern w:val="0"/>
          <w:sz w:val="24"/>
          <w:szCs w:val="24"/>
        </w:rPr>
        <w:t>德育工作</w:t>
      </w:r>
      <w:r>
        <w:rPr>
          <w:rFonts w:hint="eastAsia" w:ascii="黑体" w:hAnsi="黑体" w:eastAsia="黑体" w:cs="宋体"/>
          <w:kern w:val="0"/>
          <w:sz w:val="24"/>
          <w:szCs w:val="24"/>
          <w:lang w:eastAsia="zh-CN"/>
        </w:rPr>
        <w:t>情况</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20</w:t>
      </w:r>
    </w:p>
    <w:p>
      <w:pPr>
        <w:autoSpaceDE w:val="0"/>
        <w:autoSpaceDN w:val="0"/>
        <w:adjustRightInd w:val="0"/>
        <w:spacing w:line="420" w:lineRule="exact"/>
        <w:ind w:firstLine="480" w:firstLineChars="200"/>
        <w:jc w:val="both"/>
        <w:rPr>
          <w:rFonts w:hint="default"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lang w:val="en-US" w:eastAsia="zh-CN"/>
        </w:rPr>
        <w:t>7</w:t>
      </w:r>
      <w:r>
        <w:rPr>
          <w:rFonts w:ascii="黑体" w:hAnsi="黑体" w:eastAsia="黑体" w:cs="宋体"/>
          <w:kern w:val="0"/>
          <w:sz w:val="24"/>
          <w:szCs w:val="24"/>
        </w:rPr>
        <w:t xml:space="preserve"> </w:t>
      </w:r>
      <w:r>
        <w:rPr>
          <w:rFonts w:hint="eastAsia" w:ascii="黑体" w:hAnsi="黑体" w:eastAsia="黑体" w:cs="宋体"/>
          <w:kern w:val="0"/>
          <w:sz w:val="24"/>
          <w:szCs w:val="24"/>
        </w:rPr>
        <w:t>党建</w:t>
      </w:r>
      <w:r>
        <w:rPr>
          <w:rFonts w:hint="eastAsia" w:ascii="黑体" w:hAnsi="黑体" w:eastAsia="黑体" w:cs="宋体"/>
          <w:kern w:val="0"/>
          <w:sz w:val="24"/>
          <w:szCs w:val="24"/>
          <w:lang w:eastAsia="zh-CN"/>
        </w:rPr>
        <w:t>情况</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23</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4.</w:t>
      </w:r>
      <w:r>
        <w:rPr>
          <w:rFonts w:hint="eastAsia" w:ascii="黑体" w:hAnsi="黑体" w:eastAsia="黑体" w:cs="宋体"/>
          <w:kern w:val="0"/>
          <w:sz w:val="24"/>
          <w:szCs w:val="24"/>
        </w:rPr>
        <w:t>校企合作…………………………………………………………………………</w:t>
      </w:r>
      <w:r>
        <w:rPr>
          <w:rFonts w:hint="eastAsia" w:ascii="黑体" w:hAnsi="黑体" w:eastAsia="黑体" w:cs="宋体"/>
          <w:kern w:val="0"/>
          <w:sz w:val="24"/>
          <w:szCs w:val="24"/>
          <w:lang w:val="en-US" w:eastAsia="zh-CN"/>
        </w:rPr>
        <w:t>24</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4.1 </w:t>
      </w:r>
      <w:r>
        <w:rPr>
          <w:rFonts w:hint="eastAsia" w:ascii="黑体" w:hAnsi="黑体" w:eastAsia="黑体" w:cs="宋体"/>
          <w:kern w:val="0"/>
          <w:sz w:val="24"/>
          <w:szCs w:val="24"/>
        </w:rPr>
        <w:t>校企合作开展情况和效果……………………………………………………</w:t>
      </w:r>
      <w:r>
        <w:rPr>
          <w:rFonts w:hint="eastAsia" w:ascii="黑体" w:hAnsi="黑体" w:eastAsia="黑体" w:cs="宋体"/>
          <w:kern w:val="0"/>
          <w:sz w:val="24"/>
          <w:szCs w:val="24"/>
          <w:lang w:val="en-US" w:eastAsia="zh-CN"/>
        </w:rPr>
        <w:t>24</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4.2 </w:t>
      </w:r>
      <w:r>
        <w:rPr>
          <w:rFonts w:hint="eastAsia" w:ascii="黑体" w:hAnsi="黑体" w:eastAsia="黑体" w:cs="宋体"/>
          <w:kern w:val="0"/>
          <w:sz w:val="24"/>
          <w:szCs w:val="24"/>
        </w:rPr>
        <w:t>学生实习情况…………………………………………………………………</w:t>
      </w:r>
      <w:r>
        <w:rPr>
          <w:rFonts w:hint="eastAsia" w:ascii="黑体" w:hAnsi="黑体" w:eastAsia="黑体" w:cs="宋体"/>
          <w:kern w:val="0"/>
          <w:sz w:val="24"/>
          <w:szCs w:val="24"/>
          <w:lang w:val="en-US" w:eastAsia="zh-CN"/>
        </w:rPr>
        <w:t>24</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4.3 </w:t>
      </w:r>
      <w:r>
        <w:rPr>
          <w:rFonts w:hint="eastAsia" w:ascii="黑体" w:hAnsi="黑体" w:eastAsia="黑体" w:cs="宋体"/>
          <w:kern w:val="0"/>
          <w:sz w:val="24"/>
          <w:szCs w:val="24"/>
        </w:rPr>
        <w:t>集团化办学……………………………………………………………………</w:t>
      </w:r>
      <w:r>
        <w:rPr>
          <w:rFonts w:hint="eastAsia" w:ascii="黑体" w:hAnsi="黑体" w:eastAsia="黑体" w:cs="宋体"/>
          <w:kern w:val="0"/>
          <w:sz w:val="24"/>
          <w:szCs w:val="24"/>
          <w:lang w:val="en-US" w:eastAsia="zh-CN"/>
        </w:rPr>
        <w:t>25</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5.</w:t>
      </w:r>
      <w:r>
        <w:rPr>
          <w:rFonts w:hint="eastAsia" w:ascii="黑体" w:hAnsi="黑体" w:eastAsia="黑体" w:cs="宋体"/>
          <w:kern w:val="0"/>
          <w:sz w:val="24"/>
          <w:szCs w:val="24"/>
        </w:rPr>
        <w:t>社会贡献…………………………………………………………………………</w:t>
      </w:r>
      <w:r>
        <w:rPr>
          <w:rFonts w:hint="eastAsia" w:ascii="黑体" w:hAnsi="黑体" w:eastAsia="黑体" w:cs="宋体"/>
          <w:kern w:val="0"/>
          <w:sz w:val="24"/>
          <w:szCs w:val="24"/>
          <w:lang w:val="en-US" w:eastAsia="zh-CN"/>
        </w:rPr>
        <w:t>25</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5.1 </w:t>
      </w:r>
      <w:r>
        <w:rPr>
          <w:rFonts w:hint="eastAsia" w:ascii="黑体" w:hAnsi="黑体" w:eastAsia="黑体" w:cs="宋体"/>
          <w:kern w:val="0"/>
          <w:sz w:val="24"/>
          <w:szCs w:val="24"/>
        </w:rPr>
        <w:t>技术技能人才培养……………………………………………………………</w:t>
      </w:r>
      <w:r>
        <w:rPr>
          <w:rFonts w:hint="eastAsia" w:ascii="黑体" w:hAnsi="黑体" w:eastAsia="黑体" w:cs="宋体"/>
          <w:kern w:val="0"/>
          <w:sz w:val="24"/>
          <w:szCs w:val="24"/>
          <w:lang w:val="en-US" w:eastAsia="zh-CN"/>
        </w:rPr>
        <w:t>25</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5.2 </w:t>
      </w:r>
      <w:r>
        <w:rPr>
          <w:rFonts w:hint="eastAsia" w:ascii="黑体" w:hAnsi="黑体" w:eastAsia="黑体" w:cs="宋体"/>
          <w:kern w:val="0"/>
          <w:sz w:val="24"/>
          <w:szCs w:val="24"/>
        </w:rPr>
        <w:t>社会服务………………………………………………………………………</w:t>
      </w:r>
      <w:r>
        <w:rPr>
          <w:rFonts w:hint="eastAsia" w:ascii="黑体" w:hAnsi="黑体" w:eastAsia="黑体" w:cs="宋体"/>
          <w:kern w:val="0"/>
          <w:sz w:val="24"/>
          <w:szCs w:val="24"/>
          <w:lang w:val="en-US" w:eastAsia="zh-CN"/>
        </w:rPr>
        <w:t>25</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6.</w:t>
      </w:r>
      <w:r>
        <w:rPr>
          <w:rFonts w:hint="eastAsia" w:ascii="黑体" w:hAnsi="黑体" w:eastAsia="黑体" w:cs="宋体"/>
          <w:kern w:val="0"/>
          <w:sz w:val="24"/>
          <w:szCs w:val="24"/>
        </w:rPr>
        <w:t>举办人职责………………………………………………………………………</w:t>
      </w:r>
      <w:r>
        <w:rPr>
          <w:rFonts w:hint="eastAsia" w:ascii="黑体" w:hAnsi="黑体" w:eastAsia="黑体" w:cs="宋体"/>
          <w:kern w:val="0"/>
          <w:sz w:val="24"/>
          <w:szCs w:val="24"/>
          <w:lang w:val="en-US" w:eastAsia="zh-CN"/>
        </w:rPr>
        <w:t>26</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6.1 </w:t>
      </w:r>
      <w:r>
        <w:rPr>
          <w:rFonts w:hint="eastAsia" w:ascii="黑体" w:hAnsi="黑体" w:eastAsia="黑体" w:cs="宋体"/>
          <w:kern w:val="0"/>
          <w:sz w:val="24"/>
          <w:szCs w:val="24"/>
        </w:rPr>
        <w:t>经费……………………………………………………………………………</w:t>
      </w:r>
      <w:r>
        <w:rPr>
          <w:rFonts w:hint="eastAsia" w:ascii="黑体" w:hAnsi="黑体" w:eastAsia="黑体" w:cs="宋体"/>
          <w:kern w:val="0"/>
          <w:sz w:val="24"/>
          <w:szCs w:val="24"/>
          <w:lang w:val="en-US" w:eastAsia="zh-CN"/>
        </w:rPr>
        <w:t>26</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6.2 </w:t>
      </w:r>
      <w:r>
        <w:rPr>
          <w:rFonts w:hint="eastAsia" w:ascii="黑体" w:hAnsi="黑体" w:eastAsia="黑体" w:cs="宋体"/>
          <w:kern w:val="0"/>
          <w:sz w:val="24"/>
          <w:szCs w:val="24"/>
        </w:rPr>
        <w:t>政策措施………………………………………………………………………</w:t>
      </w:r>
      <w:r>
        <w:rPr>
          <w:rFonts w:hint="eastAsia" w:ascii="黑体" w:hAnsi="黑体" w:eastAsia="黑体" w:cs="宋体"/>
          <w:kern w:val="0"/>
          <w:sz w:val="24"/>
          <w:szCs w:val="24"/>
          <w:lang w:val="en-US" w:eastAsia="zh-CN"/>
        </w:rPr>
        <w:t>26</w:t>
      </w:r>
    </w:p>
    <w:p>
      <w:pPr>
        <w:spacing w:line="420" w:lineRule="exact"/>
        <w:ind w:firstLine="480" w:firstLineChars="200"/>
        <w:jc w:val="left"/>
        <w:rPr>
          <w:rFonts w:hint="default" w:ascii="黑体" w:hAnsi="黑体" w:eastAsia="黑体" w:cs="宋体"/>
          <w:kern w:val="0"/>
          <w:sz w:val="24"/>
          <w:szCs w:val="24"/>
          <w:lang w:val="en-US" w:eastAsia="zh-CN"/>
        </w:rPr>
      </w:pPr>
      <w:r>
        <w:rPr>
          <w:rFonts w:ascii="黑体" w:hAnsi="黑体" w:eastAsia="黑体" w:cs="宋体"/>
          <w:kern w:val="0"/>
          <w:sz w:val="24"/>
          <w:szCs w:val="24"/>
        </w:rPr>
        <w:t>7.</w:t>
      </w:r>
      <w:r>
        <w:rPr>
          <w:rFonts w:hint="eastAsia" w:ascii="黑体" w:hAnsi="黑体" w:eastAsia="黑体" w:cs="宋体"/>
          <w:kern w:val="0"/>
          <w:sz w:val="24"/>
          <w:szCs w:val="24"/>
        </w:rPr>
        <w:t>特色创新…………………………………………………………………………</w:t>
      </w:r>
      <w:r>
        <w:rPr>
          <w:rFonts w:hint="eastAsia" w:ascii="黑体" w:hAnsi="黑体" w:eastAsia="黑体" w:cs="宋体"/>
          <w:kern w:val="0"/>
          <w:sz w:val="24"/>
          <w:szCs w:val="24"/>
          <w:lang w:val="en-US" w:eastAsia="zh-CN"/>
        </w:rPr>
        <w:t>27</w:t>
      </w:r>
    </w:p>
    <w:p>
      <w:pPr>
        <w:spacing w:line="420" w:lineRule="exact"/>
        <w:ind w:firstLine="480" w:firstLineChars="200"/>
        <w:jc w:val="left"/>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8.</w:t>
      </w:r>
      <w:r>
        <w:rPr>
          <w:rFonts w:hint="eastAsia" w:ascii="黑体" w:hAnsi="黑体" w:eastAsia="黑体" w:cs="宋体"/>
          <w:kern w:val="0"/>
          <w:sz w:val="24"/>
          <w:szCs w:val="24"/>
        </w:rPr>
        <w:t>主要问题和改进措施……………………………………………………………</w:t>
      </w:r>
      <w:r>
        <w:rPr>
          <w:rFonts w:hint="eastAsia" w:ascii="黑体" w:hAnsi="黑体" w:eastAsia="黑体" w:cs="宋体"/>
          <w:kern w:val="0"/>
          <w:sz w:val="24"/>
          <w:szCs w:val="24"/>
          <w:lang w:val="en-US" w:eastAsia="zh-CN"/>
        </w:rPr>
        <w:t>27</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hint="eastAsia" w:ascii="黑体" w:hAnsi="黑体" w:eastAsia="黑体" w:cs="宋体"/>
          <w:kern w:val="0"/>
          <w:sz w:val="24"/>
          <w:szCs w:val="24"/>
        </w:rPr>
        <w:t>案 例</w:t>
      </w:r>
      <w:r>
        <w:rPr>
          <w:rFonts w:ascii="黑体" w:hAnsi="黑体" w:eastAsia="黑体" w:cs="宋体"/>
          <w:kern w:val="0"/>
          <w:sz w:val="24"/>
          <w:szCs w:val="24"/>
        </w:rPr>
        <w:t>1</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27</w:t>
      </w:r>
    </w:p>
    <w:p>
      <w:pPr>
        <w:autoSpaceDE w:val="0"/>
        <w:autoSpaceDN w:val="0"/>
        <w:adjustRightInd w:val="0"/>
        <w:spacing w:line="420" w:lineRule="exact"/>
        <w:ind w:firstLine="480" w:firstLineChars="200"/>
        <w:jc w:val="left"/>
        <w:rPr>
          <w:rFonts w:hint="default" w:ascii="黑体" w:hAnsi="黑体" w:eastAsia="黑体" w:cs="宋体"/>
          <w:kern w:val="0"/>
          <w:sz w:val="24"/>
          <w:szCs w:val="24"/>
          <w:lang w:val="en-US" w:eastAsia="zh-CN"/>
        </w:rPr>
      </w:pPr>
      <w:r>
        <w:rPr>
          <w:rFonts w:hint="eastAsia" w:ascii="黑体" w:hAnsi="黑体" w:eastAsia="黑体" w:cs="宋体"/>
          <w:kern w:val="0"/>
          <w:sz w:val="24"/>
          <w:szCs w:val="24"/>
        </w:rPr>
        <w:t>案 例</w:t>
      </w:r>
      <w:r>
        <w:rPr>
          <w:rFonts w:ascii="黑体" w:hAnsi="黑体" w:eastAsia="黑体" w:cs="宋体"/>
          <w:kern w:val="0"/>
          <w:sz w:val="24"/>
          <w:szCs w:val="24"/>
        </w:rPr>
        <w:t>2</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30</w:t>
      </w:r>
    </w:p>
    <w:p>
      <w:pPr>
        <w:widowControl/>
        <w:shd w:val="clear" w:color="auto" w:fill="FFFFFF"/>
        <w:spacing w:line="440" w:lineRule="exact"/>
        <w:ind w:firstLine="480" w:firstLineChars="200"/>
        <w:jc w:val="both"/>
        <w:rPr>
          <w:rFonts w:hint="eastAsia" w:asciiTheme="majorEastAsia" w:hAnsiTheme="majorEastAsia" w:eastAsiaTheme="majorEastAsia"/>
          <w:sz w:val="24"/>
          <w:szCs w:val="32"/>
        </w:rPr>
        <w:sectPr>
          <w:footerReference r:id="rId3" w:type="default"/>
          <w:pgSz w:w="11906" w:h="16838"/>
          <w:pgMar w:top="1701" w:right="1418" w:bottom="1418" w:left="1701" w:header="851" w:footer="992" w:gutter="0"/>
          <w:pgNumType w:start="1"/>
          <w:cols w:space="425" w:num="1"/>
          <w:docGrid w:type="lines" w:linePitch="312" w:charSpace="0"/>
        </w:sectPr>
      </w:pPr>
    </w:p>
    <w:p>
      <w:pPr>
        <w:widowControl/>
        <w:shd w:val="clear" w:color="auto" w:fill="FFFFFF"/>
        <w:spacing w:line="440" w:lineRule="exact"/>
        <w:ind w:firstLine="480" w:firstLineChars="200"/>
        <w:rPr>
          <w:rFonts w:hint="eastAsia" w:asciiTheme="majorEastAsia" w:hAnsiTheme="majorEastAsia" w:eastAsiaTheme="majorEastAsia"/>
          <w:sz w:val="24"/>
          <w:szCs w:val="32"/>
        </w:rPr>
      </w:pPr>
      <w:r>
        <w:rPr>
          <w:rFonts w:hint="eastAsia" w:asciiTheme="majorEastAsia" w:hAnsiTheme="majorEastAsia" w:eastAsiaTheme="majorEastAsia"/>
          <w:sz w:val="24"/>
          <w:szCs w:val="32"/>
        </w:rPr>
        <w:t>根据内蒙古自治区教育厅下发的《关于编制和发布2</w:t>
      </w:r>
      <w:r>
        <w:rPr>
          <w:rFonts w:asciiTheme="majorEastAsia" w:hAnsiTheme="majorEastAsia" w:eastAsiaTheme="majorEastAsia"/>
          <w:sz w:val="24"/>
          <w:szCs w:val="32"/>
        </w:rPr>
        <w:t>0</w:t>
      </w:r>
      <w:r>
        <w:rPr>
          <w:rFonts w:hint="eastAsia" w:asciiTheme="majorEastAsia" w:hAnsiTheme="majorEastAsia" w:eastAsiaTheme="majorEastAsia"/>
          <w:sz w:val="24"/>
          <w:szCs w:val="32"/>
          <w:lang w:val="en-US" w:eastAsia="zh-CN"/>
        </w:rPr>
        <w:t>21</w:t>
      </w:r>
      <w:r>
        <w:rPr>
          <w:rFonts w:hint="eastAsia" w:asciiTheme="majorEastAsia" w:hAnsiTheme="majorEastAsia" w:eastAsiaTheme="majorEastAsia"/>
          <w:sz w:val="24"/>
          <w:szCs w:val="32"/>
        </w:rPr>
        <w:t>年度中等职业教育质量报告的通知》文件精神，现将本校20</w:t>
      </w:r>
      <w:r>
        <w:rPr>
          <w:rFonts w:hint="eastAsia" w:asciiTheme="majorEastAsia" w:hAnsiTheme="majorEastAsia" w:eastAsiaTheme="majorEastAsia"/>
          <w:sz w:val="24"/>
          <w:szCs w:val="32"/>
          <w:lang w:val="en-US" w:eastAsia="zh-CN"/>
        </w:rPr>
        <w:t>21</w:t>
      </w:r>
      <w:r>
        <w:rPr>
          <w:rFonts w:hint="eastAsia" w:asciiTheme="majorEastAsia" w:hAnsiTheme="majorEastAsia" w:eastAsiaTheme="majorEastAsia"/>
          <w:sz w:val="24"/>
          <w:szCs w:val="32"/>
        </w:rPr>
        <w:t>年度学校教育质量报告如下。</w:t>
      </w:r>
    </w:p>
    <w:p>
      <w:pPr>
        <w:widowControl/>
        <w:shd w:val="clear" w:color="auto" w:fill="FFFFFF"/>
        <w:spacing w:line="440" w:lineRule="exact"/>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lang w:eastAsia="zh-CN"/>
        </w:rPr>
        <w:t>第一部</w:t>
      </w:r>
      <w:r>
        <w:rPr>
          <w:rFonts w:hint="eastAsia" w:ascii="黑体" w:hAnsi="黑体" w:eastAsia="黑体"/>
          <w:spacing w:val="-2"/>
          <w:kern w:val="0"/>
          <w:position w:val="-2"/>
          <w:sz w:val="30"/>
          <w:szCs w:val="30"/>
        </w:rPr>
        <w:t>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学校情况</w:t>
      </w:r>
    </w:p>
    <w:p>
      <w:pPr>
        <w:ind w:firstLine="554" w:firstLineChars="200"/>
        <w:rPr>
          <w:rFonts w:hint="eastAsia" w:ascii="黑体" w:hAnsi="黑体" w:eastAsia="黑体"/>
          <w:b/>
          <w:sz w:val="28"/>
          <w:szCs w:val="28"/>
          <w:lang w:val="en-US" w:eastAsia="zh-CN"/>
        </w:rPr>
      </w:pPr>
      <w:r>
        <w:rPr>
          <w:rFonts w:ascii="黑体" w:hAnsi="黑体" w:eastAsia="黑体"/>
          <w:b/>
          <w:spacing w:val="-2"/>
          <w:kern w:val="0"/>
          <w:position w:val="-2"/>
          <w:sz w:val="28"/>
          <w:szCs w:val="28"/>
        </w:rPr>
        <w:t>1.1</w:t>
      </w:r>
      <w:r>
        <w:rPr>
          <w:rFonts w:hint="eastAsia" w:ascii="黑体" w:hAnsi="黑体" w:eastAsia="黑体"/>
          <w:b/>
          <w:spacing w:val="-2"/>
          <w:kern w:val="0"/>
          <w:position w:val="-2"/>
          <w:sz w:val="28"/>
          <w:szCs w:val="28"/>
          <w:lang w:eastAsia="zh-CN"/>
        </w:rPr>
        <w:t>规模和结构</w:t>
      </w:r>
    </w:p>
    <w:p>
      <w:pPr>
        <w:widowControl/>
        <w:shd w:val="clear" w:color="auto" w:fill="FFFFFF"/>
        <w:spacing w:line="440" w:lineRule="exact"/>
        <w:ind w:firstLine="482" w:firstLineChars="200"/>
        <w:rPr>
          <w:rFonts w:asciiTheme="majorEastAsia" w:hAnsiTheme="majorEastAsia" w:eastAsiaTheme="majorEastAsia"/>
          <w:b/>
          <w:sz w:val="24"/>
          <w:szCs w:val="32"/>
        </w:rPr>
      </w:pPr>
      <w:r>
        <w:rPr>
          <w:rFonts w:hint="eastAsia" w:asciiTheme="majorEastAsia" w:hAnsiTheme="majorEastAsia" w:eastAsiaTheme="majorEastAsia"/>
          <w:b/>
          <w:sz w:val="24"/>
          <w:szCs w:val="32"/>
        </w:rPr>
        <w:t>1.1.1学校简介</w:t>
      </w:r>
    </w:p>
    <w:p>
      <w:pPr>
        <w:widowControl/>
        <w:shd w:val="clear" w:color="auto" w:fill="FFFFFF"/>
        <w:spacing w:line="440" w:lineRule="exact"/>
        <w:ind w:firstLine="480" w:firstLineChars="200"/>
        <w:rPr>
          <w:rFonts w:asciiTheme="majorEastAsia" w:hAnsiTheme="majorEastAsia" w:eastAsiaTheme="majorEastAsia"/>
          <w:sz w:val="24"/>
          <w:szCs w:val="32"/>
        </w:rPr>
      </w:pPr>
      <w:r>
        <w:rPr>
          <w:rFonts w:hint="eastAsia" w:asciiTheme="majorEastAsia" w:hAnsiTheme="majorEastAsia" w:eastAsiaTheme="majorEastAsia"/>
          <w:sz w:val="24"/>
          <w:szCs w:val="32"/>
        </w:rPr>
        <w:t>校名：赤峰第一职业中等专业学校。</w:t>
      </w:r>
    </w:p>
    <w:p>
      <w:pPr>
        <w:widowControl/>
        <w:shd w:val="clear" w:color="auto" w:fill="FFFFFF"/>
        <w:spacing w:line="440" w:lineRule="exact"/>
        <w:ind w:firstLine="480" w:firstLineChars="200"/>
        <w:rPr>
          <w:rFonts w:asciiTheme="majorEastAsia" w:hAnsiTheme="majorEastAsia" w:eastAsiaTheme="majorEastAsia"/>
          <w:sz w:val="24"/>
          <w:szCs w:val="32"/>
        </w:rPr>
      </w:pPr>
      <w:r>
        <w:rPr>
          <w:rFonts w:hint="eastAsia" w:asciiTheme="majorEastAsia" w:hAnsiTheme="majorEastAsia" w:eastAsiaTheme="majorEastAsia"/>
          <w:sz w:val="24"/>
          <w:szCs w:val="32"/>
          <w:lang w:val="en-US" w:eastAsia="zh-CN"/>
        </w:rPr>
        <w:t>赤峰第一职业中等专业</w:t>
      </w:r>
      <w:r>
        <w:rPr>
          <w:rFonts w:asciiTheme="majorEastAsia" w:hAnsiTheme="majorEastAsia" w:eastAsiaTheme="majorEastAsia"/>
          <w:sz w:val="24"/>
          <w:szCs w:val="32"/>
        </w:rPr>
        <w:t>学校</w:t>
      </w:r>
      <w:r>
        <w:rPr>
          <w:rFonts w:hint="eastAsia" w:asciiTheme="majorEastAsia" w:hAnsiTheme="majorEastAsia" w:eastAsiaTheme="majorEastAsia"/>
          <w:sz w:val="24"/>
          <w:szCs w:val="32"/>
          <w:lang w:val="en-US" w:eastAsia="zh-CN"/>
        </w:rPr>
        <w:t>是</w:t>
      </w:r>
      <w:r>
        <w:rPr>
          <w:rFonts w:hint="eastAsia" w:asciiTheme="majorEastAsia" w:hAnsiTheme="majorEastAsia" w:eastAsiaTheme="majorEastAsia"/>
          <w:sz w:val="24"/>
          <w:szCs w:val="32"/>
        </w:rPr>
        <w:t>赤峰市红山区人民政府</w:t>
      </w:r>
      <w:r>
        <w:rPr>
          <w:rFonts w:hint="eastAsia" w:asciiTheme="majorEastAsia" w:hAnsiTheme="majorEastAsia" w:eastAsiaTheme="majorEastAsia"/>
          <w:sz w:val="24"/>
          <w:szCs w:val="32"/>
          <w:lang w:val="en-US" w:eastAsia="zh-CN"/>
        </w:rPr>
        <w:t>举办</w:t>
      </w:r>
      <w:r>
        <w:rPr>
          <w:rFonts w:hint="eastAsia" w:asciiTheme="majorEastAsia" w:hAnsiTheme="majorEastAsia" w:eastAsiaTheme="majorEastAsia"/>
          <w:sz w:val="24"/>
          <w:szCs w:val="32"/>
        </w:rPr>
        <w:t>的公办职业学校，位于红山区桥北物流园区中昊大街西段，属于全额事业单位。学校是国家级重点职业中学、“现代学徒制”试点学校、国家校园足球特色学校、内蒙古自治区职业教育改革发展示范校、赤峰市名学校。学校主要为地方经济社会发展培养初、中、高各级技能型人才，为高等院校输送优质生源。办学层次主要包括中等职业教育</w:t>
      </w:r>
      <w:r>
        <w:rPr>
          <w:rFonts w:hint="eastAsia" w:asciiTheme="majorEastAsia" w:hAnsiTheme="majorEastAsia" w:eastAsiaTheme="majorEastAsia"/>
          <w:sz w:val="24"/>
          <w:szCs w:val="32"/>
          <w:lang w:eastAsia="zh-CN"/>
        </w:rPr>
        <w:t>（包括五年制高职</w:t>
      </w:r>
      <w:r>
        <w:rPr>
          <w:rFonts w:hint="eastAsia" w:asciiTheme="majorEastAsia" w:hAnsiTheme="majorEastAsia" w:eastAsiaTheme="majorEastAsia"/>
          <w:sz w:val="24"/>
          <w:szCs w:val="32"/>
        </w:rPr>
        <w:t>“3+</w:t>
      </w:r>
      <w:r>
        <w:rPr>
          <w:rFonts w:asciiTheme="majorEastAsia" w:hAnsiTheme="majorEastAsia" w:eastAsiaTheme="majorEastAsia"/>
          <w:sz w:val="24"/>
          <w:szCs w:val="32"/>
        </w:rPr>
        <w:t>2</w:t>
      </w:r>
      <w:r>
        <w:rPr>
          <w:rFonts w:hint="eastAsia" w:asciiTheme="majorEastAsia" w:hAnsiTheme="majorEastAsia" w:eastAsiaTheme="majorEastAsia"/>
          <w:sz w:val="24"/>
          <w:szCs w:val="32"/>
        </w:rPr>
        <w:t>”分段</w:t>
      </w:r>
      <w:r>
        <w:rPr>
          <w:rFonts w:hint="eastAsia" w:asciiTheme="majorEastAsia" w:hAnsiTheme="majorEastAsia" w:eastAsiaTheme="majorEastAsia"/>
          <w:sz w:val="24"/>
          <w:szCs w:val="32"/>
          <w:lang w:eastAsia="zh-CN"/>
        </w:rPr>
        <w:t>）</w:t>
      </w:r>
      <w:r>
        <w:rPr>
          <w:rFonts w:hint="eastAsia" w:asciiTheme="majorEastAsia" w:hAnsiTheme="majorEastAsia" w:eastAsiaTheme="majorEastAsia"/>
          <w:sz w:val="24"/>
          <w:szCs w:val="32"/>
        </w:rPr>
        <w:t>、</w:t>
      </w:r>
      <w:r>
        <w:rPr>
          <w:rFonts w:hint="eastAsia" w:asciiTheme="majorEastAsia" w:hAnsiTheme="majorEastAsia" w:eastAsiaTheme="majorEastAsia"/>
          <w:sz w:val="24"/>
          <w:szCs w:val="32"/>
          <w:lang w:eastAsia="zh-CN"/>
        </w:rPr>
        <w:t>技工学制</w:t>
      </w:r>
      <w:r>
        <w:rPr>
          <w:rFonts w:hint="eastAsia" w:asciiTheme="majorEastAsia" w:hAnsiTheme="majorEastAsia" w:eastAsiaTheme="majorEastAsia"/>
          <w:sz w:val="24"/>
          <w:szCs w:val="32"/>
        </w:rPr>
        <w:t>教育，以及农村劳动力转移培训、下岗职工再就业培训和企事业单位职工在岗职业培训、创业培训等各类职业培训等。</w:t>
      </w:r>
    </w:p>
    <w:p>
      <w:pPr>
        <w:widowControl/>
        <w:shd w:val="clear" w:color="auto" w:fill="FFFFFF"/>
        <w:spacing w:line="440" w:lineRule="exact"/>
        <w:ind w:firstLine="480" w:firstLineChars="200"/>
        <w:rPr>
          <w:rFonts w:hint="eastAsia" w:asciiTheme="majorEastAsia" w:hAnsiTheme="majorEastAsia" w:eastAsiaTheme="majorEastAsia"/>
          <w:b/>
          <w:sz w:val="24"/>
          <w:szCs w:val="32"/>
        </w:rPr>
      </w:pPr>
      <w:r>
        <w:rPr>
          <w:rFonts w:hint="eastAsia" w:asciiTheme="majorEastAsia" w:hAnsiTheme="majorEastAsia" w:eastAsiaTheme="majorEastAsia"/>
          <w:bCs/>
          <w:sz w:val="24"/>
          <w:szCs w:val="32"/>
        </w:rPr>
        <w:t>学校在党委的坚强领导下，全面贯彻党的教育方针，落实《国家职业教育改革实施方案》、</w:t>
      </w:r>
      <w:r>
        <w:rPr>
          <w:rFonts w:hint="eastAsia" w:asciiTheme="majorEastAsia" w:hAnsiTheme="majorEastAsia" w:eastAsiaTheme="majorEastAsia"/>
          <w:bCs/>
          <w:sz w:val="24"/>
          <w:szCs w:val="32"/>
          <w:lang w:eastAsia="zh-CN"/>
        </w:rPr>
        <w:t>《职业教育提质培优行动计划（</w:t>
      </w:r>
      <w:r>
        <w:rPr>
          <w:rFonts w:hint="eastAsia" w:asciiTheme="majorEastAsia" w:hAnsiTheme="majorEastAsia" w:eastAsiaTheme="majorEastAsia"/>
          <w:bCs/>
          <w:sz w:val="24"/>
          <w:szCs w:val="32"/>
          <w:lang w:val="en-US" w:eastAsia="zh-CN"/>
        </w:rPr>
        <w:t>2020-2023年</w:t>
      </w:r>
      <w:r>
        <w:rPr>
          <w:rFonts w:hint="eastAsia" w:asciiTheme="majorEastAsia" w:hAnsiTheme="majorEastAsia" w:eastAsiaTheme="majorEastAsia"/>
          <w:bCs/>
          <w:sz w:val="24"/>
          <w:szCs w:val="32"/>
          <w:lang w:eastAsia="zh-CN"/>
        </w:rPr>
        <w:t>）》、</w:t>
      </w:r>
      <w:r>
        <w:rPr>
          <w:rFonts w:hint="eastAsia" w:asciiTheme="majorEastAsia" w:hAnsiTheme="majorEastAsia" w:eastAsiaTheme="majorEastAsia"/>
          <w:bCs/>
          <w:sz w:val="24"/>
          <w:szCs w:val="32"/>
        </w:rPr>
        <w:t>自治区政府《</w:t>
      </w:r>
      <w:r>
        <w:rPr>
          <w:rFonts w:asciiTheme="majorEastAsia" w:hAnsiTheme="majorEastAsia" w:eastAsiaTheme="majorEastAsia"/>
          <w:bCs/>
          <w:sz w:val="24"/>
          <w:szCs w:val="32"/>
        </w:rPr>
        <w:t>关于加快发展现代职业教育的意见</w:t>
      </w:r>
      <w:r>
        <w:rPr>
          <w:rFonts w:hint="eastAsia" w:asciiTheme="majorEastAsia" w:hAnsiTheme="majorEastAsia" w:eastAsiaTheme="majorEastAsia"/>
          <w:bCs/>
          <w:sz w:val="24"/>
          <w:szCs w:val="32"/>
        </w:rPr>
        <w:t>》精神，通过抓好“党务融合、教师素质、学生能力、专业体系、校园基础”五大建设，努力</w:t>
      </w:r>
      <w:r>
        <w:rPr>
          <w:rFonts w:hint="eastAsia" w:asciiTheme="majorEastAsia" w:hAnsiTheme="majorEastAsia" w:eastAsiaTheme="majorEastAsia"/>
          <w:bCs/>
          <w:sz w:val="24"/>
          <w:szCs w:val="32"/>
          <w:lang w:eastAsia="zh-CN"/>
        </w:rPr>
        <w:t>建设</w:t>
      </w:r>
      <w:r>
        <w:rPr>
          <w:rFonts w:hint="eastAsia" w:asciiTheme="majorEastAsia" w:hAnsiTheme="majorEastAsia" w:eastAsiaTheme="majorEastAsia"/>
          <w:bCs/>
          <w:sz w:val="24"/>
          <w:szCs w:val="32"/>
        </w:rPr>
        <w:t>“文明、安全、智慧、示范”四</w:t>
      </w:r>
      <w:r>
        <w:rPr>
          <w:rFonts w:hint="eastAsia" w:asciiTheme="majorEastAsia" w:hAnsiTheme="majorEastAsia" w:eastAsiaTheme="majorEastAsia"/>
          <w:bCs/>
          <w:sz w:val="24"/>
          <w:szCs w:val="32"/>
          <w:lang w:eastAsia="zh-CN"/>
        </w:rPr>
        <w:t>型校园</w:t>
      </w:r>
      <w:r>
        <w:rPr>
          <w:rFonts w:hint="eastAsia" w:asciiTheme="majorEastAsia" w:hAnsiTheme="majorEastAsia" w:eastAsiaTheme="majorEastAsia"/>
          <w:bCs/>
          <w:sz w:val="24"/>
          <w:szCs w:val="32"/>
        </w:rPr>
        <w:t>。进一步改善办学条件，让教师队伍与教学设备形成更强的教学能力。改造传统专业，做强特色专业，拓展新兴专业。以特色项目建设为依托，以人才培养模式和课程体系及课程内容改革为切入点和突破口，带动校内外实训基地建设、“双师”素质教学团队建设，深化“</w:t>
      </w:r>
      <w:r>
        <w:rPr>
          <w:rFonts w:hint="eastAsia" w:asciiTheme="majorEastAsia" w:hAnsiTheme="majorEastAsia" w:eastAsiaTheme="majorEastAsia"/>
          <w:bCs/>
          <w:sz w:val="24"/>
          <w:szCs w:val="32"/>
          <w:lang w:eastAsia="zh-CN"/>
        </w:rPr>
        <w:t>校企合作协同</w:t>
      </w:r>
      <w:r>
        <w:rPr>
          <w:rFonts w:hint="eastAsia" w:asciiTheme="majorEastAsia" w:hAnsiTheme="majorEastAsia" w:eastAsiaTheme="majorEastAsia"/>
          <w:bCs/>
          <w:sz w:val="24"/>
          <w:szCs w:val="32"/>
        </w:rPr>
        <w:t>育人”办学特色，创新培养模式，提高教育质量，提升</w:t>
      </w:r>
      <w:r>
        <w:rPr>
          <w:rFonts w:hint="eastAsia" w:asciiTheme="majorEastAsia" w:hAnsiTheme="majorEastAsia" w:eastAsiaTheme="majorEastAsia"/>
          <w:bCs/>
          <w:sz w:val="24"/>
          <w:szCs w:val="32"/>
          <w:lang w:eastAsia="zh-CN"/>
        </w:rPr>
        <w:t>治理</w:t>
      </w:r>
      <w:r>
        <w:rPr>
          <w:rFonts w:hint="eastAsia" w:asciiTheme="majorEastAsia" w:hAnsiTheme="majorEastAsia" w:eastAsiaTheme="majorEastAsia"/>
          <w:bCs/>
          <w:sz w:val="24"/>
          <w:szCs w:val="32"/>
        </w:rPr>
        <w:t>水平，增强</w:t>
      </w:r>
      <w:r>
        <w:rPr>
          <w:rFonts w:hint="eastAsia" w:asciiTheme="majorEastAsia" w:hAnsiTheme="majorEastAsia" w:eastAsiaTheme="majorEastAsia"/>
          <w:bCs/>
          <w:sz w:val="24"/>
          <w:szCs w:val="32"/>
          <w:lang w:eastAsia="zh-CN"/>
        </w:rPr>
        <w:t>职业教育适应性</w:t>
      </w:r>
      <w:r>
        <w:rPr>
          <w:rFonts w:hint="eastAsia" w:asciiTheme="majorEastAsia" w:hAnsiTheme="majorEastAsia" w:eastAsiaTheme="majorEastAsia"/>
          <w:bCs/>
          <w:sz w:val="24"/>
          <w:szCs w:val="32"/>
        </w:rPr>
        <w:t>。对接本地区高新技术产业园区，深化产教融合、校企合作，更</w:t>
      </w:r>
      <w:r>
        <w:rPr>
          <w:rFonts w:asciiTheme="majorEastAsia" w:hAnsiTheme="majorEastAsia" w:eastAsiaTheme="majorEastAsia"/>
          <w:bCs/>
          <w:sz w:val="24"/>
          <w:szCs w:val="32"/>
        </w:rPr>
        <w:t>好地服务地区经济社会发展，</w:t>
      </w:r>
      <w:r>
        <w:rPr>
          <w:rFonts w:hint="eastAsia" w:asciiTheme="majorEastAsia" w:hAnsiTheme="majorEastAsia" w:eastAsiaTheme="majorEastAsia"/>
          <w:bCs/>
          <w:sz w:val="24"/>
          <w:szCs w:val="32"/>
        </w:rPr>
        <w:t>为赤峰</w:t>
      </w:r>
      <w:r>
        <w:rPr>
          <w:rFonts w:asciiTheme="majorEastAsia" w:hAnsiTheme="majorEastAsia" w:eastAsiaTheme="majorEastAsia"/>
          <w:bCs/>
          <w:sz w:val="24"/>
          <w:szCs w:val="32"/>
        </w:rPr>
        <w:t>地</w:t>
      </w:r>
      <w:r>
        <w:rPr>
          <w:rFonts w:hint="eastAsia" w:asciiTheme="majorEastAsia" w:hAnsiTheme="majorEastAsia" w:eastAsiaTheme="majorEastAsia"/>
          <w:bCs/>
          <w:sz w:val="24"/>
          <w:szCs w:val="32"/>
        </w:rPr>
        <w:t>区百姓的脱贫致富、乡村振兴、就业创业、终身</w:t>
      </w:r>
      <w:r>
        <w:rPr>
          <w:rFonts w:hint="eastAsia" w:asciiTheme="majorEastAsia" w:hAnsiTheme="majorEastAsia" w:eastAsiaTheme="majorEastAsia"/>
          <w:bCs/>
          <w:sz w:val="24"/>
          <w:szCs w:val="32"/>
          <w:lang w:eastAsia="zh-CN"/>
        </w:rPr>
        <w:t>学习</w:t>
      </w:r>
      <w:r>
        <w:rPr>
          <w:rFonts w:hint="eastAsia" w:asciiTheme="majorEastAsia" w:hAnsiTheme="majorEastAsia" w:eastAsiaTheme="majorEastAsia"/>
          <w:bCs/>
          <w:sz w:val="24"/>
          <w:szCs w:val="32"/>
        </w:rPr>
        <w:t>提供优质服务。</w:t>
      </w:r>
    </w:p>
    <w:p>
      <w:pPr>
        <w:widowControl/>
        <w:shd w:val="clear" w:color="auto" w:fill="FFFFFF"/>
        <w:spacing w:line="440" w:lineRule="exact"/>
        <w:ind w:firstLine="482" w:firstLineChars="200"/>
        <w:rPr>
          <w:rFonts w:hint="eastAsia" w:asciiTheme="majorEastAsia" w:hAnsiTheme="majorEastAsia" w:eastAsiaTheme="majorEastAsia"/>
          <w:b/>
          <w:sz w:val="24"/>
          <w:szCs w:val="32"/>
        </w:rPr>
      </w:pPr>
      <w:r>
        <w:rPr>
          <w:rFonts w:hint="eastAsia" w:asciiTheme="majorEastAsia" w:hAnsiTheme="majorEastAsia" w:eastAsiaTheme="majorEastAsia"/>
          <w:b/>
          <w:sz w:val="24"/>
          <w:szCs w:val="32"/>
        </w:rPr>
        <w:t>1.1.2办学资源</w:t>
      </w:r>
    </w:p>
    <w:p>
      <w:pPr>
        <w:widowControl/>
        <w:shd w:val="clear" w:color="auto" w:fill="FFFFFF"/>
        <w:spacing w:line="440" w:lineRule="exact"/>
        <w:ind w:firstLine="480" w:firstLineChars="200"/>
        <w:rPr>
          <w:rFonts w:hint="eastAsia" w:asciiTheme="majorEastAsia" w:hAnsiTheme="majorEastAsia" w:eastAsiaTheme="majorEastAsia"/>
          <w:sz w:val="24"/>
          <w:szCs w:val="32"/>
        </w:rPr>
      </w:pPr>
      <w:r>
        <w:rPr>
          <w:rFonts w:hint="eastAsia" w:asciiTheme="majorEastAsia" w:hAnsiTheme="majorEastAsia" w:eastAsiaTheme="majorEastAsia"/>
          <w:sz w:val="24"/>
          <w:szCs w:val="32"/>
        </w:rPr>
        <w:t>校园面积占地面积</w:t>
      </w:r>
      <w:r>
        <w:rPr>
          <w:rFonts w:asciiTheme="majorEastAsia" w:hAnsiTheme="majorEastAsia" w:eastAsiaTheme="majorEastAsia"/>
          <w:sz w:val="24"/>
          <w:szCs w:val="32"/>
        </w:rPr>
        <w:t>194</w:t>
      </w:r>
      <w:r>
        <w:rPr>
          <w:rFonts w:hint="eastAsia" w:asciiTheme="majorEastAsia" w:hAnsiTheme="majorEastAsia" w:eastAsiaTheme="majorEastAsia"/>
          <w:sz w:val="24"/>
          <w:szCs w:val="32"/>
        </w:rPr>
        <w:t>亩，建筑面积</w:t>
      </w:r>
      <w:r>
        <w:rPr>
          <w:rFonts w:asciiTheme="majorEastAsia" w:hAnsiTheme="majorEastAsia" w:eastAsiaTheme="majorEastAsia"/>
          <w:sz w:val="24"/>
          <w:szCs w:val="32"/>
        </w:rPr>
        <w:t>50978</w:t>
      </w:r>
      <w:r>
        <w:rPr>
          <w:rFonts w:hint="eastAsia" w:asciiTheme="majorEastAsia" w:hAnsiTheme="majorEastAsia" w:eastAsiaTheme="majorEastAsia"/>
          <w:sz w:val="24"/>
          <w:szCs w:val="32"/>
        </w:rPr>
        <w:t>万平方米，年内新增固定资产投入</w:t>
      </w:r>
      <w:r>
        <w:rPr>
          <w:rFonts w:hint="eastAsia" w:asciiTheme="majorEastAsia" w:hAnsiTheme="majorEastAsia" w:eastAsiaTheme="majorEastAsia"/>
          <w:sz w:val="24"/>
          <w:szCs w:val="32"/>
          <w:lang w:val="en-US" w:eastAsia="zh-CN"/>
        </w:rPr>
        <w:t>596</w:t>
      </w:r>
      <w:r>
        <w:rPr>
          <w:rFonts w:hint="eastAsia" w:asciiTheme="majorEastAsia" w:hAnsiTheme="majorEastAsia" w:eastAsiaTheme="majorEastAsia"/>
          <w:sz w:val="24"/>
          <w:szCs w:val="32"/>
        </w:rPr>
        <w:t>万元。本年度</w:t>
      </w:r>
      <w:r>
        <w:rPr>
          <w:rFonts w:hint="eastAsia" w:cs="Arial" w:asciiTheme="majorEastAsia" w:hAnsiTheme="majorEastAsia" w:eastAsiaTheme="majorEastAsia"/>
          <w:spacing w:val="-2"/>
          <w:kern w:val="0"/>
          <w:position w:val="-2"/>
          <w:sz w:val="24"/>
        </w:rPr>
        <w:t>与上年度在</w:t>
      </w:r>
      <w:r>
        <w:rPr>
          <w:rFonts w:hint="eastAsia" w:asciiTheme="majorEastAsia" w:hAnsiTheme="majorEastAsia" w:eastAsiaTheme="majorEastAsia"/>
          <w:sz w:val="24"/>
          <w:szCs w:val="32"/>
        </w:rPr>
        <w:t>占地</w:t>
      </w:r>
      <w:r>
        <w:rPr>
          <w:rFonts w:hint="eastAsia" w:cs="Arial" w:asciiTheme="majorEastAsia" w:hAnsiTheme="majorEastAsia" w:eastAsiaTheme="majorEastAsia"/>
          <w:spacing w:val="-2"/>
          <w:position w:val="-2"/>
          <w:sz w:val="24"/>
        </w:rPr>
        <w:t>面积及生均、</w:t>
      </w:r>
      <w:r>
        <w:rPr>
          <w:rFonts w:hint="eastAsia" w:asciiTheme="majorEastAsia" w:hAnsiTheme="majorEastAsia" w:eastAsiaTheme="majorEastAsia"/>
          <w:sz w:val="24"/>
          <w:szCs w:val="32"/>
        </w:rPr>
        <w:t>校舍建筑面积</w:t>
      </w:r>
      <w:r>
        <w:rPr>
          <w:rFonts w:hint="eastAsia" w:cs="Arial" w:asciiTheme="majorEastAsia" w:hAnsiTheme="majorEastAsia" w:eastAsiaTheme="majorEastAsia"/>
          <w:spacing w:val="-2"/>
          <w:position w:val="-2"/>
          <w:sz w:val="24"/>
        </w:rPr>
        <w:t>及生均</w:t>
      </w:r>
      <w:r>
        <w:rPr>
          <w:rFonts w:hint="eastAsia" w:asciiTheme="majorEastAsia" w:hAnsiTheme="majorEastAsia" w:eastAsiaTheme="majorEastAsia"/>
          <w:sz w:val="24"/>
          <w:szCs w:val="32"/>
        </w:rPr>
        <w:t>、固定资产总值及生均的变化情况。详见</w:t>
      </w:r>
      <w:r>
        <w:rPr>
          <w:rFonts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20</w:t>
      </w:r>
      <w:r>
        <w:rPr>
          <w:rFonts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21</w:t>
      </w:r>
      <w:r>
        <w:rPr>
          <w:rFonts w:asciiTheme="majorEastAsia" w:hAnsiTheme="majorEastAsia" w:eastAsiaTheme="majorEastAsia"/>
          <w:sz w:val="24"/>
          <w:szCs w:val="32"/>
        </w:rPr>
        <w:t>年学校办学资源总量及生均值</w:t>
      </w:r>
      <w:r>
        <w:rPr>
          <w:rFonts w:hint="eastAsia" w:asciiTheme="majorEastAsia" w:hAnsiTheme="majorEastAsia" w:eastAsiaTheme="majorEastAsia"/>
          <w:sz w:val="24"/>
          <w:szCs w:val="32"/>
        </w:rPr>
        <w:t>统计表1-1。</w:t>
      </w:r>
    </w:p>
    <w:p>
      <w:pPr>
        <w:widowControl/>
        <w:shd w:val="clear" w:color="auto" w:fill="FFFFFF"/>
        <w:spacing w:line="440" w:lineRule="exact"/>
        <w:ind w:firstLine="480" w:firstLineChars="200"/>
        <w:rPr>
          <w:rFonts w:hint="eastAsia" w:asciiTheme="majorEastAsia" w:hAnsiTheme="majorEastAsia" w:eastAsiaTheme="majorEastAsia"/>
          <w:sz w:val="24"/>
          <w:szCs w:val="32"/>
        </w:rPr>
      </w:pPr>
    </w:p>
    <w:p>
      <w:pPr>
        <w:widowControl/>
        <w:shd w:val="clear" w:color="auto" w:fill="FFFFFF"/>
        <w:spacing w:line="440" w:lineRule="exact"/>
        <w:ind w:firstLine="480" w:firstLineChars="200"/>
        <w:rPr>
          <w:rFonts w:hint="eastAsia" w:asciiTheme="majorEastAsia" w:hAnsiTheme="majorEastAsia" w:eastAsiaTheme="majorEastAsia"/>
          <w:sz w:val="24"/>
          <w:szCs w:val="32"/>
        </w:rPr>
      </w:pPr>
    </w:p>
    <w:p>
      <w:pPr>
        <w:widowControl/>
        <w:shd w:val="clear" w:color="auto" w:fill="FFFFFF"/>
        <w:spacing w:line="440" w:lineRule="exact"/>
        <w:ind w:firstLine="480" w:firstLineChars="200"/>
        <w:jc w:val="center"/>
        <w:rPr>
          <w:rFonts w:hint="eastAsia" w:asciiTheme="majorEastAsia" w:hAnsiTheme="majorEastAsia" w:eastAsiaTheme="majorEastAsia"/>
          <w:sz w:val="24"/>
          <w:szCs w:val="32"/>
        </w:rPr>
      </w:pPr>
    </w:p>
    <w:p>
      <w:pPr>
        <w:widowControl/>
        <w:shd w:val="clear" w:color="auto" w:fill="FFFFFF"/>
        <w:spacing w:line="440" w:lineRule="exact"/>
        <w:ind w:firstLine="480" w:firstLineChars="200"/>
        <w:jc w:val="center"/>
        <w:rPr>
          <w:rFonts w:asciiTheme="majorEastAsia" w:hAnsiTheme="majorEastAsia" w:eastAsiaTheme="majorEastAsia"/>
          <w:sz w:val="24"/>
          <w:szCs w:val="32"/>
        </w:rPr>
      </w:pPr>
      <w:r>
        <w:rPr>
          <w:rFonts w:hint="eastAsia" w:asciiTheme="majorEastAsia" w:hAnsiTheme="majorEastAsia" w:eastAsiaTheme="majorEastAsia"/>
          <w:sz w:val="24"/>
          <w:szCs w:val="32"/>
        </w:rPr>
        <w:t>表1-1  20</w:t>
      </w:r>
      <w:r>
        <w:rPr>
          <w:rFonts w:hint="eastAsia" w:asciiTheme="majorEastAsia" w:hAnsiTheme="majorEastAsia" w:eastAsiaTheme="majorEastAsia"/>
          <w:sz w:val="24"/>
          <w:szCs w:val="32"/>
          <w:lang w:val="en-US" w:eastAsia="zh-CN"/>
        </w:rPr>
        <w:t>20</w:t>
      </w:r>
      <w:r>
        <w:rPr>
          <w:rFonts w:hint="eastAsia"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21</w:t>
      </w:r>
      <w:r>
        <w:rPr>
          <w:rFonts w:hint="eastAsia" w:asciiTheme="majorEastAsia" w:hAnsiTheme="majorEastAsia" w:eastAsiaTheme="majorEastAsia"/>
          <w:sz w:val="24"/>
          <w:szCs w:val="32"/>
        </w:rPr>
        <w:t>年学校办学资源总量及生均值统计表</w:t>
      </w:r>
    </w:p>
    <w:tbl>
      <w:tblPr>
        <w:tblStyle w:val="10"/>
        <w:tblW w:w="8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40"/>
        <w:gridCol w:w="1080"/>
        <w:gridCol w:w="936"/>
        <w:gridCol w:w="936"/>
        <w:gridCol w:w="1234"/>
        <w:gridCol w:w="1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28"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序号</w:t>
            </w:r>
          </w:p>
        </w:tc>
        <w:tc>
          <w:tcPr>
            <w:tcW w:w="2340"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名称</w:t>
            </w:r>
          </w:p>
        </w:tc>
        <w:tc>
          <w:tcPr>
            <w:tcW w:w="1080"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单位</w:t>
            </w:r>
          </w:p>
        </w:tc>
        <w:tc>
          <w:tcPr>
            <w:tcW w:w="1872" w:type="dxa"/>
            <w:gridSpan w:val="2"/>
            <w:tcBorders>
              <w:bottom w:val="single" w:color="000000" w:sz="4" w:space="0"/>
            </w:tcBorders>
            <w:shd w:val="clear" w:color="auto" w:fill="5B9BD5" w:themeFill="accent1"/>
            <w:vAlign w:val="center"/>
          </w:tcPr>
          <w:p>
            <w:pPr>
              <w:spacing w:line="320" w:lineRule="exact"/>
              <w:ind w:firstLine="210" w:firstLineChars="100"/>
              <w:jc w:val="center"/>
              <w:rPr>
                <w:rFonts w:asciiTheme="majorEastAsia" w:hAnsiTheme="majorEastAsia" w:eastAsiaTheme="majorEastAsia"/>
              </w:rPr>
            </w:pPr>
            <w:r>
              <w:rPr>
                <w:rFonts w:hint="eastAsia" w:asciiTheme="majorEastAsia" w:hAnsiTheme="majorEastAsia" w:eastAsiaTheme="majorEastAsia"/>
              </w:rPr>
              <w:t>数     量</w:t>
            </w:r>
          </w:p>
        </w:tc>
        <w:tc>
          <w:tcPr>
            <w:tcW w:w="2690" w:type="dxa"/>
            <w:gridSpan w:val="2"/>
            <w:tcBorders>
              <w:bottom w:val="single" w:color="000000" w:sz="4" w:space="0"/>
            </w:tcBorders>
            <w:shd w:val="clear" w:color="auto" w:fill="5B9BD5" w:themeFill="accent1"/>
            <w:vAlign w:val="center"/>
          </w:tcPr>
          <w:p>
            <w:pPr>
              <w:widowControl/>
              <w:spacing w:line="320" w:lineRule="exact"/>
              <w:ind w:firstLine="105" w:firstLineChars="50"/>
              <w:jc w:val="center"/>
              <w:rPr>
                <w:rFonts w:asciiTheme="majorEastAsia" w:hAnsiTheme="majorEastAsia" w:eastAsiaTheme="majorEastAsia"/>
              </w:rPr>
            </w:pPr>
            <w:r>
              <w:rPr>
                <w:rFonts w:hint="eastAsia" w:asciiTheme="majorEastAsia" w:hAnsiTheme="majorEastAsia" w:eastAsiaTheme="majorEastAsia"/>
              </w:rPr>
              <w:t>生  均  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28" w:type="dxa"/>
            <w:vMerge w:val="continue"/>
          </w:tcPr>
          <w:p>
            <w:pPr>
              <w:widowControl/>
              <w:spacing w:line="320" w:lineRule="exact"/>
              <w:rPr>
                <w:rFonts w:asciiTheme="majorEastAsia" w:hAnsiTheme="majorEastAsia" w:eastAsiaTheme="majorEastAsia"/>
              </w:rPr>
            </w:pPr>
          </w:p>
        </w:tc>
        <w:tc>
          <w:tcPr>
            <w:tcW w:w="2340" w:type="dxa"/>
            <w:vMerge w:val="continue"/>
          </w:tcPr>
          <w:p>
            <w:pPr>
              <w:widowControl/>
              <w:spacing w:line="320" w:lineRule="exact"/>
              <w:rPr>
                <w:rFonts w:asciiTheme="majorEastAsia" w:hAnsiTheme="majorEastAsia" w:eastAsiaTheme="majorEastAsia"/>
              </w:rPr>
            </w:pPr>
          </w:p>
        </w:tc>
        <w:tc>
          <w:tcPr>
            <w:tcW w:w="1080" w:type="dxa"/>
            <w:vMerge w:val="continue"/>
          </w:tcPr>
          <w:p>
            <w:pPr>
              <w:widowControl/>
              <w:spacing w:line="320" w:lineRule="exact"/>
              <w:rPr>
                <w:rFonts w:asciiTheme="majorEastAsia" w:hAnsiTheme="majorEastAsia" w:eastAsiaTheme="majorEastAsia"/>
              </w:rPr>
            </w:pPr>
          </w:p>
        </w:tc>
        <w:tc>
          <w:tcPr>
            <w:tcW w:w="936" w:type="dxa"/>
            <w:shd w:val="clear" w:color="auto" w:fill="5B9BD5" w:themeFill="accent1"/>
            <w:vAlign w:val="top"/>
          </w:tcPr>
          <w:p>
            <w:pPr>
              <w:spacing w:line="320" w:lineRule="exact"/>
              <w:jc w:val="center"/>
              <w:rPr>
                <w:rFonts w:hint="default"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rPr>
              <w:t>20</w:t>
            </w:r>
            <w:r>
              <w:rPr>
                <w:rFonts w:hint="eastAsia" w:asciiTheme="majorEastAsia" w:hAnsiTheme="majorEastAsia" w:eastAsiaTheme="majorEastAsia"/>
                <w:lang w:val="en-US" w:eastAsia="zh-CN"/>
              </w:rPr>
              <w:t>20</w:t>
            </w:r>
          </w:p>
        </w:tc>
        <w:tc>
          <w:tcPr>
            <w:tcW w:w="936"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2021</w:t>
            </w:r>
          </w:p>
        </w:tc>
        <w:tc>
          <w:tcPr>
            <w:tcW w:w="1234"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2020</w:t>
            </w:r>
          </w:p>
        </w:tc>
        <w:tc>
          <w:tcPr>
            <w:tcW w:w="1456"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rPr>
              <w:t>2</w:t>
            </w:r>
            <w:r>
              <w:rPr>
                <w:rFonts w:asciiTheme="majorEastAsia" w:hAnsiTheme="majorEastAsia" w:eastAsiaTheme="majorEastAsia"/>
              </w:rPr>
              <w:t>0</w:t>
            </w:r>
            <w:r>
              <w:rPr>
                <w:rFonts w:hint="eastAsia" w:asciiTheme="majorEastAsia" w:hAnsiTheme="majorEastAsia" w:eastAsiaTheme="majorEastAsia"/>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1</w:t>
            </w:r>
          </w:p>
        </w:tc>
        <w:tc>
          <w:tcPr>
            <w:tcW w:w="2340" w:type="dxa"/>
          </w:tcPr>
          <w:p>
            <w:pPr>
              <w:widowControl/>
              <w:spacing w:line="320" w:lineRule="exact"/>
              <w:jc w:val="center"/>
              <w:rPr>
                <w:rFonts w:asciiTheme="majorEastAsia" w:hAnsiTheme="majorEastAsia" w:eastAsiaTheme="majorEastAsia"/>
              </w:rPr>
            </w:pPr>
            <w:r>
              <w:rPr>
                <w:rFonts w:hint="eastAsia" w:cs="Arial" w:asciiTheme="majorEastAsia" w:hAnsiTheme="majorEastAsia" w:eastAsiaTheme="majorEastAsia"/>
                <w:spacing w:val="-2"/>
                <w:position w:val="-2"/>
              </w:rPr>
              <w:t>占地面积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hint="default" w:ascii="仿宋" w:hAnsi="仿宋" w:eastAsia="仿宋" w:cs="Times New Roman"/>
                <w:kern w:val="2"/>
                <w:sz w:val="21"/>
                <w:szCs w:val="21"/>
                <w:lang w:val="en-US" w:eastAsia="zh-CN" w:bidi="ar-SA"/>
              </w:rPr>
            </w:pPr>
            <w:r>
              <w:rPr>
                <w:rFonts w:ascii="仿宋" w:hAnsi="仿宋" w:eastAsia="仿宋"/>
                <w:sz w:val="21"/>
                <w:szCs w:val="21"/>
              </w:rPr>
              <w:t>1293</w:t>
            </w:r>
            <w:r>
              <w:rPr>
                <w:rFonts w:hint="eastAsia" w:ascii="仿宋" w:hAnsi="仿宋" w:eastAsia="仿宋"/>
                <w:sz w:val="21"/>
                <w:szCs w:val="21"/>
                <w:lang w:val="en-US" w:eastAsia="zh-CN"/>
              </w:rPr>
              <w:t>98</w:t>
            </w:r>
          </w:p>
        </w:tc>
        <w:tc>
          <w:tcPr>
            <w:tcW w:w="936" w:type="dxa"/>
            <w:vAlign w:val="top"/>
          </w:tcPr>
          <w:p>
            <w:pPr>
              <w:widowControl/>
              <w:spacing w:beforeLines="0" w:afterLines="0"/>
              <w:rPr>
                <w:rFonts w:hint="default" w:ascii="仿宋" w:hAnsi="仿宋" w:eastAsia="仿宋" w:cs="Times New Roman"/>
                <w:kern w:val="2"/>
                <w:sz w:val="21"/>
                <w:szCs w:val="21"/>
                <w:lang w:val="en-US" w:eastAsia="zh-CN" w:bidi="ar-SA"/>
              </w:rPr>
            </w:pPr>
            <w:r>
              <w:rPr>
                <w:rFonts w:hint="eastAsia" w:ascii="仿宋" w:hAnsi="仿宋" w:eastAsia="仿宋"/>
                <w:sz w:val="21"/>
                <w:szCs w:val="21"/>
              </w:rPr>
              <w:t>129373</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65.01</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2</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校舍建筑面积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50978</w:t>
            </w:r>
          </w:p>
        </w:tc>
        <w:tc>
          <w:tcPr>
            <w:tcW w:w="936"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50978</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25.61</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3</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行政办公用房面积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1595</w:t>
            </w:r>
          </w:p>
        </w:tc>
        <w:tc>
          <w:tcPr>
            <w:tcW w:w="936"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1595</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0.80</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4</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学生宿舍面积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7279</w:t>
            </w:r>
          </w:p>
        </w:tc>
        <w:tc>
          <w:tcPr>
            <w:tcW w:w="936"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7279</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5.74</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5</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校内实训用房面积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14309</w:t>
            </w:r>
          </w:p>
        </w:tc>
        <w:tc>
          <w:tcPr>
            <w:tcW w:w="936"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14309</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7.19</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6</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多媒体教室面积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4320</w:t>
            </w:r>
          </w:p>
        </w:tc>
        <w:tc>
          <w:tcPr>
            <w:tcW w:w="936"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4320</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2.17</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7</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心理咨询室面积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1"/>
                <w:szCs w:val="21"/>
                <w:lang w:val="en-US" w:eastAsia="zh-CN" w:bidi="ar-SA"/>
              </w:rPr>
            </w:pPr>
            <w:r>
              <w:rPr>
                <w:rFonts w:ascii="仿宋" w:hAnsi="仿宋" w:eastAsia="仿宋"/>
                <w:sz w:val="21"/>
                <w:szCs w:val="21"/>
              </w:rPr>
              <w:t>108</w:t>
            </w:r>
          </w:p>
        </w:tc>
        <w:tc>
          <w:tcPr>
            <w:tcW w:w="936" w:type="dxa"/>
            <w:vAlign w:val="top"/>
          </w:tcPr>
          <w:p>
            <w:pPr>
              <w:widowControl/>
              <w:spacing w:beforeLines="0" w:afterLines="0"/>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108</w:t>
            </w:r>
          </w:p>
        </w:tc>
        <w:tc>
          <w:tcPr>
            <w:tcW w:w="1234" w:type="dxa"/>
            <w:vAlign w:val="top"/>
          </w:tcPr>
          <w:p>
            <w:pPr>
              <w:widowControl/>
              <w:spacing w:beforeLines="0" w:afterLines="0"/>
              <w:rPr>
                <w:rFonts w:hint="eastAsia" w:ascii="仿宋" w:hAnsi="仿宋" w:eastAsia="仿宋" w:cs="Times New Roman"/>
                <w:kern w:val="2"/>
                <w:sz w:val="21"/>
                <w:szCs w:val="21"/>
                <w:lang w:val="en-US" w:eastAsia="zh-CN" w:bidi="ar-SA"/>
              </w:rPr>
            </w:pPr>
            <w:r>
              <w:rPr>
                <w:rFonts w:hint="eastAsia" w:ascii="仿宋" w:hAnsi="仿宋" w:eastAsia="仿宋"/>
                <w:sz w:val="21"/>
                <w:szCs w:val="21"/>
              </w:rPr>
              <w:t>0.05</w:t>
            </w:r>
          </w:p>
        </w:tc>
        <w:tc>
          <w:tcPr>
            <w:tcW w:w="1456" w:type="dxa"/>
            <w:vAlign w:val="top"/>
          </w:tcPr>
          <w:p>
            <w:pPr>
              <w:widowControl/>
              <w:spacing w:beforeLines="0" w:afterLines="0"/>
              <w:rPr>
                <w:rFonts w:hint="eastAsia" w:ascii="仿宋" w:hAnsi="仿宋" w:eastAsia="仿宋"/>
                <w:sz w:val="21"/>
                <w:szCs w:val="21"/>
                <w:lang w:val="en-US" w:eastAsia="zh-CN"/>
              </w:rPr>
            </w:pPr>
            <w:r>
              <w:rPr>
                <w:rFonts w:hint="eastAsia" w:ascii="仿宋" w:hAnsi="仿宋" w:eastAsia="仿宋"/>
                <w:sz w:val="21"/>
                <w:szCs w:val="21"/>
              </w:rPr>
              <w:t>0.0</w:t>
            </w:r>
            <w:r>
              <w:rPr>
                <w:rFonts w:hint="eastAsia" w:ascii="仿宋" w:hAnsi="仿宋" w:eastAsia="仿宋"/>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8</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固定资产总值</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万元</w:t>
            </w:r>
          </w:p>
        </w:tc>
        <w:tc>
          <w:tcPr>
            <w:tcW w:w="936" w:type="dxa"/>
          </w:tcPr>
          <w:p>
            <w:pPr>
              <w:widowControl/>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9411</w:t>
            </w:r>
          </w:p>
        </w:tc>
        <w:tc>
          <w:tcPr>
            <w:tcW w:w="936" w:type="dxa"/>
            <w:vAlign w:val="top"/>
          </w:tcPr>
          <w:p>
            <w:pPr>
              <w:widowControl/>
              <w:spacing w:beforeLines="0" w:afterLines="0"/>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10007</w:t>
            </w:r>
          </w:p>
        </w:tc>
        <w:tc>
          <w:tcPr>
            <w:tcW w:w="1234" w:type="dxa"/>
            <w:vAlign w:val="top"/>
          </w:tcPr>
          <w:p>
            <w:pPr>
              <w:widowControl/>
              <w:spacing w:beforeLines="0" w:afterLines="0"/>
              <w:rPr>
                <w:rFonts w:hint="default" w:ascii="仿宋" w:hAnsi="仿宋" w:eastAsia="仿宋" w:cs="Times New Roman"/>
                <w:kern w:val="2"/>
                <w:sz w:val="21"/>
                <w:szCs w:val="21"/>
                <w:lang w:val="en-US" w:eastAsia="zh-CN" w:bidi="ar-SA"/>
              </w:rPr>
            </w:pPr>
            <w:r>
              <w:rPr>
                <w:rFonts w:hint="eastAsia" w:ascii="仿宋" w:hAnsi="仿宋" w:eastAsia="仿宋"/>
                <w:sz w:val="21"/>
                <w:szCs w:val="21"/>
              </w:rPr>
              <w:t>472</w:t>
            </w:r>
            <w:r>
              <w:rPr>
                <w:rFonts w:hint="eastAsia" w:ascii="仿宋" w:hAnsi="仿宋" w:eastAsia="仿宋"/>
                <w:sz w:val="21"/>
                <w:szCs w:val="21"/>
                <w:lang w:val="en-US" w:eastAsia="zh-CN"/>
              </w:rPr>
              <w:t>9.15</w:t>
            </w:r>
          </w:p>
        </w:tc>
        <w:tc>
          <w:tcPr>
            <w:tcW w:w="1456" w:type="dxa"/>
            <w:vAlign w:val="top"/>
          </w:tcPr>
          <w:p>
            <w:pPr>
              <w:widowControl/>
              <w:spacing w:beforeLines="0" w:afterLines="0"/>
              <w:rPr>
                <w:rFonts w:hint="default" w:ascii="仿宋" w:hAnsi="仿宋" w:eastAsia="仿宋"/>
                <w:sz w:val="21"/>
                <w:szCs w:val="21"/>
                <w:lang w:val="en-US" w:eastAsia="zh-CN"/>
              </w:rPr>
            </w:pPr>
            <w:r>
              <w:rPr>
                <w:rFonts w:hint="eastAsia" w:ascii="仿宋" w:hAnsi="仿宋" w:eastAsia="仿宋"/>
                <w:sz w:val="21"/>
                <w:szCs w:val="21"/>
                <w:lang w:val="en-US" w:eastAsia="zh-CN"/>
              </w:rPr>
              <w:t>4579.86</w:t>
            </w:r>
          </w:p>
        </w:tc>
      </w:tr>
    </w:tbl>
    <w:p>
      <w:pPr>
        <w:widowControl/>
        <w:shd w:val="clear" w:color="auto" w:fill="FFFFFF"/>
        <w:ind w:firstLine="480" w:firstLineChars="200"/>
        <w:jc w:val="left"/>
        <w:rPr>
          <w:rFonts w:hint="eastAsia" w:ascii="仿宋" w:hAnsi="仿宋" w:eastAsia="仿宋"/>
          <w:sz w:val="24"/>
          <w:szCs w:val="32"/>
        </w:rPr>
      </w:pPr>
      <w:r>
        <w:rPr>
          <w:rFonts w:hint="eastAsia" w:ascii="仿宋" w:hAnsi="仿宋" w:eastAsia="仿宋"/>
          <w:sz w:val="24"/>
          <w:szCs w:val="32"/>
        </w:rPr>
        <w:t>注：主要数据已经达到“中职标准”</w:t>
      </w:r>
    </w:p>
    <w:p>
      <w:pPr>
        <w:widowControl/>
        <w:shd w:val="clear" w:color="auto" w:fill="FFFFFF"/>
        <w:ind w:firstLine="480" w:firstLineChars="200"/>
        <w:jc w:val="left"/>
        <w:rPr>
          <w:rFonts w:hint="eastAsia" w:ascii="仿宋" w:hAnsi="仿宋" w:eastAsia="仿宋"/>
          <w:sz w:val="24"/>
          <w:szCs w:val="32"/>
        </w:rPr>
      </w:pPr>
    </w:p>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w:t>
      </w:r>
      <w:r>
        <w:rPr>
          <w:rFonts w:hint="eastAsia" w:asciiTheme="minorEastAsia" w:hAnsiTheme="minorEastAsia" w:eastAsiaTheme="minorEastAsia"/>
          <w:b/>
          <w:sz w:val="24"/>
          <w:szCs w:val="32"/>
          <w:lang w:val="en-US" w:eastAsia="zh-CN"/>
        </w:rPr>
        <w:t>1</w:t>
      </w:r>
      <w:r>
        <w:rPr>
          <w:rFonts w:hint="eastAsia" w:asciiTheme="minorEastAsia" w:hAnsiTheme="minorEastAsia" w:eastAsiaTheme="minorEastAsia"/>
          <w:b/>
          <w:sz w:val="24"/>
          <w:szCs w:val="32"/>
        </w:rPr>
        <w:t>.</w:t>
      </w:r>
      <w:r>
        <w:rPr>
          <w:rFonts w:hint="eastAsia" w:asciiTheme="minorEastAsia" w:hAnsiTheme="minorEastAsia" w:eastAsiaTheme="minorEastAsia"/>
          <w:b/>
          <w:sz w:val="24"/>
          <w:szCs w:val="32"/>
          <w:lang w:val="en-US" w:eastAsia="zh-CN"/>
        </w:rPr>
        <w:t>3</w:t>
      </w:r>
      <w:r>
        <w:rPr>
          <w:rFonts w:hint="eastAsia" w:asciiTheme="minorEastAsia" w:hAnsiTheme="minorEastAsia" w:eastAsiaTheme="minorEastAsia"/>
          <w:b/>
          <w:sz w:val="24"/>
          <w:szCs w:val="32"/>
        </w:rPr>
        <w:t>学生规模</w:t>
      </w:r>
    </w:p>
    <w:p>
      <w:pPr>
        <w:widowControl/>
        <w:shd w:val="clear" w:color="auto" w:fill="FFFFFF"/>
        <w:spacing w:line="440" w:lineRule="exact"/>
        <w:ind w:firstLine="480" w:firstLineChars="200"/>
        <w:rPr>
          <w:rFonts w:cs="Arial" w:asciiTheme="minorEastAsia" w:hAnsiTheme="minorEastAsia" w:eastAsiaTheme="minorEastAsia"/>
          <w:color w:val="FFFFFF" w:themeColor="background1"/>
          <w:spacing w:val="-2"/>
          <w:position w:val="-2"/>
          <w:sz w:val="24"/>
          <w14:textFill>
            <w14:solidFill>
              <w14:schemeClr w14:val="bg1"/>
            </w14:solidFill>
          </w14:textFill>
        </w:rPr>
      </w:pPr>
      <w:r>
        <w:rPr>
          <w:rFonts w:hint="eastAsia" w:asciiTheme="minorEastAsia" w:hAnsiTheme="minorEastAsia" w:eastAsiaTheme="minorEastAsia"/>
          <w:sz w:val="24"/>
          <w:szCs w:val="32"/>
        </w:rPr>
        <w:t>学校现有全日制在校生</w:t>
      </w:r>
      <w:r>
        <w:rPr>
          <w:rFonts w:hint="eastAsia" w:asciiTheme="minorEastAsia" w:hAnsiTheme="minorEastAsia" w:eastAsiaTheme="minorEastAsia"/>
          <w:sz w:val="24"/>
          <w:szCs w:val="32"/>
          <w:lang w:val="en-US" w:eastAsia="zh-CN"/>
        </w:rPr>
        <w:t>2185</w:t>
      </w:r>
      <w:r>
        <w:rPr>
          <w:rFonts w:hint="eastAsia" w:asciiTheme="minorEastAsia" w:hAnsiTheme="minorEastAsia" w:eastAsiaTheme="minorEastAsia"/>
          <w:sz w:val="24"/>
          <w:szCs w:val="32"/>
        </w:rPr>
        <w:t>人，较上年</w:t>
      </w:r>
      <w:r>
        <w:rPr>
          <w:rFonts w:hint="eastAsia" w:asciiTheme="minorEastAsia" w:hAnsiTheme="minorEastAsia" w:eastAsiaTheme="minorEastAsia"/>
          <w:sz w:val="24"/>
          <w:szCs w:val="32"/>
          <w:lang w:val="en-US" w:eastAsia="zh-CN"/>
        </w:rPr>
        <w:t>增加195</w:t>
      </w:r>
      <w:r>
        <w:rPr>
          <w:rFonts w:asciiTheme="minorEastAsia" w:hAnsiTheme="minorEastAsia" w:eastAsiaTheme="minorEastAsia"/>
          <w:sz w:val="24"/>
          <w:szCs w:val="32"/>
        </w:rPr>
        <w:t>人。</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年招生</w:t>
      </w:r>
      <w:r>
        <w:rPr>
          <w:rFonts w:asciiTheme="minorEastAsia" w:hAnsiTheme="minorEastAsia" w:eastAsiaTheme="minorEastAsia"/>
          <w:sz w:val="24"/>
          <w:szCs w:val="32"/>
        </w:rPr>
        <w:t>7</w:t>
      </w:r>
      <w:r>
        <w:rPr>
          <w:rFonts w:hint="eastAsia" w:asciiTheme="minorEastAsia" w:hAnsiTheme="minorEastAsia" w:eastAsiaTheme="minorEastAsia"/>
          <w:sz w:val="24"/>
          <w:szCs w:val="32"/>
          <w:lang w:val="en-US" w:eastAsia="zh-CN"/>
        </w:rPr>
        <w:t>67</w:t>
      </w:r>
      <w:r>
        <w:rPr>
          <w:rFonts w:hint="eastAsia" w:asciiTheme="minorEastAsia" w:hAnsiTheme="minorEastAsia" w:eastAsiaTheme="minorEastAsia"/>
          <w:sz w:val="24"/>
          <w:szCs w:val="32"/>
        </w:rPr>
        <w:t>人，比上年</w:t>
      </w:r>
      <w:r>
        <w:rPr>
          <w:rFonts w:hint="eastAsia" w:asciiTheme="minorEastAsia" w:hAnsiTheme="minorEastAsia" w:eastAsiaTheme="minorEastAsia"/>
          <w:sz w:val="24"/>
          <w:szCs w:val="32"/>
          <w:lang w:eastAsia="zh-CN"/>
        </w:rPr>
        <w:t>减少</w:t>
      </w:r>
      <w:r>
        <w:rPr>
          <w:rFonts w:hint="eastAsia" w:asciiTheme="minorEastAsia" w:hAnsiTheme="minorEastAsia" w:eastAsiaTheme="minorEastAsia"/>
          <w:sz w:val="24"/>
          <w:szCs w:val="32"/>
          <w:lang w:val="en-US" w:eastAsia="zh-CN"/>
        </w:rPr>
        <w:t>29</w:t>
      </w:r>
      <w:r>
        <w:rPr>
          <w:rFonts w:hint="eastAsia" w:asciiTheme="minorEastAsia" w:hAnsiTheme="minorEastAsia" w:eastAsiaTheme="minorEastAsia"/>
          <w:sz w:val="24"/>
          <w:szCs w:val="32"/>
        </w:rPr>
        <w:t>人</w:t>
      </w:r>
      <w:r>
        <w:rPr>
          <w:rFonts w:asciiTheme="minorEastAsia" w:hAnsiTheme="minorEastAsia" w:eastAsiaTheme="minorEastAsia"/>
          <w:sz w:val="24"/>
          <w:szCs w:val="32"/>
        </w:rPr>
        <w:t>。</w:t>
      </w:r>
      <w:r>
        <w:rPr>
          <w:rFonts w:hint="eastAsia" w:asciiTheme="minorEastAsia" w:hAnsiTheme="minorEastAsia" w:eastAsiaTheme="minorEastAsia"/>
          <w:sz w:val="24"/>
          <w:szCs w:val="32"/>
          <w:lang w:eastAsia="zh-CN"/>
        </w:rPr>
        <w:t>毕业生</w:t>
      </w:r>
      <w:r>
        <w:rPr>
          <w:rFonts w:hint="eastAsia" w:asciiTheme="minorEastAsia" w:hAnsiTheme="minorEastAsia" w:eastAsiaTheme="minorEastAsia"/>
          <w:sz w:val="24"/>
          <w:szCs w:val="32"/>
          <w:lang w:val="en-US" w:eastAsia="zh-CN"/>
        </w:rPr>
        <w:t>517人，</w:t>
      </w:r>
      <w:r>
        <w:rPr>
          <w:rFonts w:hint="eastAsia" w:asciiTheme="minorEastAsia" w:hAnsiTheme="minorEastAsia" w:eastAsiaTheme="minorEastAsia"/>
          <w:sz w:val="24"/>
          <w:szCs w:val="32"/>
        </w:rPr>
        <w:t>学生年入学巩固率达9</w:t>
      </w:r>
      <w:r>
        <w:rPr>
          <w:rFonts w:hint="eastAsia" w:asciiTheme="minorEastAsia" w:hAnsiTheme="minorEastAsia" w:eastAsiaTheme="minorEastAsia"/>
          <w:sz w:val="24"/>
          <w:szCs w:val="32"/>
          <w:lang w:val="en-US" w:eastAsia="zh-CN"/>
        </w:rPr>
        <w:t>3</w:t>
      </w:r>
      <w:r>
        <w:rPr>
          <w:rFonts w:asciiTheme="minorEastAsia" w:hAnsiTheme="minorEastAsia" w:eastAsiaTheme="minorEastAsia"/>
          <w:sz w:val="24"/>
          <w:szCs w:val="32"/>
        </w:rPr>
        <w:t>.7</w:t>
      </w: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与上年度全日制学生在招生、在校生、毕业生对比变化，</w:t>
      </w:r>
      <w:r>
        <w:rPr>
          <w:rFonts w:hint="eastAsia" w:asciiTheme="minorEastAsia" w:hAnsiTheme="minorEastAsia" w:eastAsiaTheme="minorEastAsia"/>
          <w:sz w:val="24"/>
          <w:szCs w:val="32"/>
        </w:rPr>
        <w:t>详见</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年学校全日制学生情况</w:t>
      </w:r>
      <w:r>
        <w:rPr>
          <w:rFonts w:hint="eastAsia" w:cs="Arial" w:asciiTheme="minorEastAsia" w:hAnsiTheme="minorEastAsia" w:eastAsiaTheme="minorEastAsia"/>
          <w:spacing w:val="-2"/>
          <w:position w:val="-2"/>
          <w:sz w:val="24"/>
        </w:rPr>
        <w:t>统计表1-2。</w:t>
      </w:r>
    </w:p>
    <w:p>
      <w:pPr>
        <w:widowControl/>
        <w:shd w:val="clear" w:color="auto" w:fill="FFFFFF"/>
        <w:spacing w:line="440" w:lineRule="exact"/>
        <w:ind w:firstLine="480" w:firstLineChars="200"/>
        <w:rPr>
          <w:rFonts w:cs="Arial" w:asciiTheme="minorEastAsia" w:hAnsiTheme="minorEastAsia" w:eastAsiaTheme="minorEastAsia"/>
          <w:color w:val="FFFFFF" w:themeColor="background1"/>
          <w:spacing w:val="-2"/>
          <w:position w:val="-2"/>
          <w:sz w:val="24"/>
          <w14:textFill>
            <w14:solidFill>
              <w14:schemeClr w14:val="bg1"/>
            </w14:solidFill>
          </w14:textFill>
        </w:rPr>
      </w:pP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年学校全日制学生情况</w:t>
      </w:r>
      <w:r>
        <w:rPr>
          <w:rFonts w:hint="eastAsia" w:cs="Arial" w:asciiTheme="minorEastAsia" w:hAnsiTheme="minorEastAsia" w:eastAsiaTheme="minorEastAsia"/>
          <w:spacing w:val="-2"/>
          <w:position w:val="-2"/>
          <w:sz w:val="24"/>
        </w:rPr>
        <w:t>统计表1-2。</w:t>
      </w:r>
    </w:p>
    <w:p>
      <w:pPr>
        <w:widowControl/>
        <w:shd w:val="clear" w:color="auto" w:fill="FFFFFF"/>
        <w:spacing w:line="440" w:lineRule="exact"/>
        <w:ind w:firstLine="482" w:firstLineChars="200"/>
        <w:rPr>
          <w:rFonts w:hint="eastAsia" w:asciiTheme="minorEastAsia" w:hAnsiTheme="minorEastAsia" w:eastAsiaTheme="minorEastAsia"/>
          <w:b/>
          <w:sz w:val="24"/>
          <w:szCs w:val="32"/>
        </w:rPr>
      </w:pPr>
    </w:p>
    <w:p>
      <w:pPr>
        <w:widowControl/>
        <w:shd w:val="clear" w:color="auto" w:fill="FFFFFF"/>
        <w:spacing w:line="440" w:lineRule="exact"/>
        <w:ind w:firstLine="420" w:firstLineChars="200"/>
        <w:rPr>
          <w:rFonts w:hint="eastAsia" w:asciiTheme="minorEastAsia" w:hAnsiTheme="minorEastAsia" w:eastAsiaTheme="minorEastAsia"/>
          <w:b/>
          <w:sz w:val="24"/>
          <w:szCs w:val="32"/>
        </w:rPr>
      </w:pPr>
      <w:r>
        <w:drawing>
          <wp:anchor distT="0" distB="0" distL="114300" distR="114300" simplePos="0" relativeHeight="251660288" behindDoc="0" locked="0" layoutInCell="1" allowOverlap="1">
            <wp:simplePos x="0" y="0"/>
            <wp:positionH relativeFrom="margin">
              <wp:posOffset>191770</wp:posOffset>
            </wp:positionH>
            <wp:positionV relativeFrom="paragraph">
              <wp:posOffset>18415</wp:posOffset>
            </wp:positionV>
            <wp:extent cx="5270500" cy="3074670"/>
            <wp:effectExtent l="4445" t="4445" r="20955" b="698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inorEastAsia" w:hAnsiTheme="minorEastAsia" w:eastAsiaTheme="minorEastAsia"/>
          <w:b/>
          <w:sz w:val="24"/>
          <w:szCs w:val="32"/>
        </w:rPr>
        <w:t>1.</w:t>
      </w:r>
      <w:r>
        <w:rPr>
          <w:rFonts w:hint="eastAsia" w:asciiTheme="minorEastAsia" w:hAnsiTheme="minorEastAsia" w:eastAsiaTheme="minorEastAsia"/>
          <w:b/>
          <w:sz w:val="24"/>
          <w:szCs w:val="32"/>
          <w:lang w:val="en-US" w:eastAsia="zh-CN"/>
        </w:rPr>
        <w:t>1</w:t>
      </w:r>
      <w:r>
        <w:rPr>
          <w:rFonts w:hint="eastAsia" w:asciiTheme="minorEastAsia" w:hAnsiTheme="minorEastAsia" w:eastAsiaTheme="minorEastAsia"/>
          <w:b/>
          <w:sz w:val="24"/>
          <w:szCs w:val="32"/>
        </w:rPr>
        <w:t>.</w:t>
      </w:r>
      <w:r>
        <w:rPr>
          <w:rFonts w:hint="eastAsia" w:asciiTheme="minorEastAsia" w:hAnsiTheme="minorEastAsia" w:eastAsiaTheme="minorEastAsia"/>
          <w:b/>
          <w:sz w:val="24"/>
          <w:szCs w:val="32"/>
          <w:lang w:val="en-US" w:eastAsia="zh-CN"/>
        </w:rPr>
        <w:t>4</w:t>
      </w:r>
      <w:r>
        <w:rPr>
          <w:rFonts w:hint="eastAsia" w:asciiTheme="minorEastAsia" w:hAnsiTheme="minorEastAsia" w:eastAsiaTheme="minorEastAsia"/>
          <w:b/>
          <w:sz w:val="24"/>
          <w:szCs w:val="32"/>
        </w:rPr>
        <w:t>学生结构</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本年度与上年度在开设专业总数，骨干专业占比。详见20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年学校全日制分专业学生情况</w:t>
      </w:r>
      <w:r>
        <w:rPr>
          <w:rFonts w:hint="eastAsia" w:asciiTheme="minorEastAsia" w:hAnsiTheme="minorEastAsia" w:eastAsiaTheme="minorEastAsia"/>
          <w:sz w:val="24"/>
          <w:szCs w:val="32"/>
        </w:rPr>
        <w:t>统计表1-3。</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表1-3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年学校全日制分专业学生情况统计表</w:t>
      </w:r>
    </w:p>
    <w:tbl>
      <w:tblPr>
        <w:tblStyle w:val="10"/>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900"/>
        <w:gridCol w:w="2628"/>
        <w:gridCol w:w="688"/>
        <w:gridCol w:w="712"/>
        <w:gridCol w:w="688"/>
        <w:gridCol w:w="723"/>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92" w:type="dxa"/>
            <w:vMerge w:val="restart"/>
            <w:shd w:val="clear" w:color="auto" w:fill="5B9BD5" w:themeFill="accent1"/>
            <w:vAlign w:val="center"/>
          </w:tcPr>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序号</w:t>
            </w:r>
          </w:p>
        </w:tc>
        <w:tc>
          <w:tcPr>
            <w:tcW w:w="1900" w:type="dxa"/>
            <w:vMerge w:val="restart"/>
            <w:shd w:val="clear" w:color="auto" w:fill="5B9BD5" w:themeFill="accent1"/>
            <w:vAlign w:val="center"/>
          </w:tcPr>
          <w:p>
            <w:pPr>
              <w:widowControl/>
              <w:jc w:val="center"/>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rPr>
              <w:t>专业类</w:t>
            </w:r>
            <w:r>
              <w:rPr>
                <w:rFonts w:hint="eastAsia" w:ascii="仿宋" w:hAnsi="仿宋" w:eastAsia="仿宋"/>
                <w:spacing w:val="-2"/>
                <w:kern w:val="0"/>
                <w:position w:val="-2"/>
                <w:sz w:val="24"/>
                <w:lang w:eastAsia="zh-CN"/>
              </w:rPr>
              <w:t>别</w:t>
            </w:r>
          </w:p>
        </w:tc>
        <w:tc>
          <w:tcPr>
            <w:tcW w:w="2628" w:type="dxa"/>
            <w:vMerge w:val="restart"/>
            <w:shd w:val="clear" w:color="auto" w:fill="5B9BD5" w:themeFill="accent1"/>
            <w:vAlign w:val="center"/>
          </w:tcPr>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专业名称</w:t>
            </w:r>
          </w:p>
        </w:tc>
        <w:tc>
          <w:tcPr>
            <w:tcW w:w="1400" w:type="dxa"/>
            <w:gridSpan w:val="2"/>
            <w:shd w:val="clear" w:color="auto" w:fill="5B9BD5" w:themeFill="accent1"/>
          </w:tcPr>
          <w:p>
            <w:pPr>
              <w:rPr>
                <w:rFonts w:ascii="仿宋" w:hAnsi="仿宋" w:eastAsia="仿宋"/>
                <w:spacing w:val="-2"/>
                <w:kern w:val="0"/>
                <w:position w:val="-2"/>
                <w:sz w:val="24"/>
              </w:rPr>
            </w:pPr>
            <w:r>
              <w:rPr>
                <w:rFonts w:hint="eastAsia" w:ascii="仿宋" w:hAnsi="仿宋" w:eastAsia="仿宋"/>
                <w:spacing w:val="-2"/>
                <w:kern w:val="0"/>
                <w:position w:val="-2"/>
                <w:sz w:val="24"/>
              </w:rPr>
              <w:t>招生数</w:t>
            </w:r>
          </w:p>
        </w:tc>
        <w:tc>
          <w:tcPr>
            <w:tcW w:w="1411" w:type="dxa"/>
            <w:gridSpan w:val="2"/>
            <w:shd w:val="clear" w:color="auto" w:fill="5B9BD5" w:themeFill="accent1"/>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在校生数</w:t>
            </w:r>
          </w:p>
        </w:tc>
        <w:tc>
          <w:tcPr>
            <w:tcW w:w="1075" w:type="dxa"/>
            <w:vMerge w:val="restart"/>
            <w:shd w:val="clear" w:color="auto" w:fill="5B9BD5" w:themeFill="accent1"/>
          </w:tcPr>
          <w:p>
            <w:pPr>
              <w:widowControl/>
              <w:ind w:firstLine="472" w:firstLineChars="200"/>
              <w:jc w:val="center"/>
              <w:rPr>
                <w:rFonts w:hint="eastAsia" w:ascii="仿宋" w:hAnsi="仿宋" w:eastAsia="仿宋"/>
                <w:spacing w:val="-2"/>
                <w:kern w:val="0"/>
                <w:position w:val="-2"/>
                <w:sz w:val="24"/>
              </w:rPr>
            </w:pPr>
            <w:r>
              <w:rPr>
                <w:rFonts w:hint="eastAsia" w:ascii="仿宋" w:hAnsi="仿宋" w:eastAsia="仿宋"/>
                <w:spacing w:val="-2"/>
                <w:kern w:val="0"/>
                <w:position w:val="-2"/>
                <w:sz w:val="24"/>
              </w:rPr>
              <w:t>专业</w:t>
            </w:r>
          </w:p>
          <w:p>
            <w:pPr>
              <w:widowControl/>
              <w:ind w:firstLine="472" w:firstLineChars="200"/>
              <w:jc w:val="center"/>
              <w:rPr>
                <w:rFonts w:ascii="仿宋" w:hAnsi="仿宋" w:eastAsia="仿宋"/>
                <w:spacing w:val="-2"/>
                <w:kern w:val="0"/>
                <w:position w:val="-2"/>
                <w:sz w:val="24"/>
              </w:rPr>
            </w:pPr>
            <w:r>
              <w:rPr>
                <w:rFonts w:hint="eastAsia" w:ascii="仿宋" w:hAnsi="仿宋" w:eastAsia="仿宋"/>
                <w:spacing w:val="-2"/>
                <w:kern w:val="0"/>
                <w:position w:val="-2"/>
                <w:sz w:val="24"/>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492" w:type="dxa"/>
            <w:vMerge w:val="continue"/>
            <w:shd w:val="clear" w:color="auto" w:fill="5B9BD5" w:themeFill="accent1"/>
          </w:tcPr>
          <w:p>
            <w:pPr>
              <w:widowControl/>
              <w:rPr>
                <w:rFonts w:ascii="仿宋" w:hAnsi="仿宋" w:eastAsia="仿宋"/>
                <w:spacing w:val="-2"/>
                <w:kern w:val="0"/>
                <w:position w:val="-2"/>
                <w:sz w:val="24"/>
              </w:rPr>
            </w:pPr>
          </w:p>
        </w:tc>
        <w:tc>
          <w:tcPr>
            <w:tcW w:w="1900" w:type="dxa"/>
            <w:vMerge w:val="continue"/>
            <w:shd w:val="clear" w:color="auto" w:fill="5B9BD5" w:themeFill="accent1"/>
          </w:tcPr>
          <w:p>
            <w:pPr>
              <w:widowControl/>
              <w:rPr>
                <w:rFonts w:ascii="仿宋" w:hAnsi="仿宋" w:eastAsia="仿宋"/>
                <w:spacing w:val="-2"/>
                <w:kern w:val="0"/>
                <w:position w:val="-2"/>
                <w:sz w:val="24"/>
              </w:rPr>
            </w:pPr>
          </w:p>
        </w:tc>
        <w:tc>
          <w:tcPr>
            <w:tcW w:w="2628" w:type="dxa"/>
            <w:vMerge w:val="continue"/>
            <w:shd w:val="clear" w:color="auto" w:fill="5B9BD5" w:themeFill="accent1"/>
          </w:tcPr>
          <w:p>
            <w:pPr>
              <w:widowControl/>
              <w:rPr>
                <w:rFonts w:ascii="仿宋" w:hAnsi="仿宋" w:eastAsia="仿宋"/>
                <w:spacing w:val="-2"/>
                <w:kern w:val="0"/>
                <w:position w:val="-2"/>
                <w:sz w:val="24"/>
              </w:rPr>
            </w:pPr>
          </w:p>
        </w:tc>
        <w:tc>
          <w:tcPr>
            <w:tcW w:w="688" w:type="dxa"/>
            <w:shd w:val="clear" w:color="auto" w:fill="5B9BD5" w:themeFill="accent1"/>
          </w:tcPr>
          <w:p>
            <w:pPr>
              <w:rPr>
                <w:rFonts w:hint="default" w:ascii="仿宋" w:hAnsi="仿宋" w:eastAsia="仿宋"/>
                <w:spacing w:val="-2"/>
                <w:kern w:val="0"/>
                <w:position w:val="-2"/>
                <w:sz w:val="24"/>
                <w:lang w:val="en-US" w:eastAsia="zh-CN"/>
              </w:rPr>
            </w:pPr>
            <w:r>
              <w:rPr>
                <w:rFonts w:ascii="仿宋" w:hAnsi="仿宋" w:eastAsia="仿宋"/>
                <w:spacing w:val="-2"/>
                <w:kern w:val="0"/>
                <w:position w:val="-2"/>
                <w:sz w:val="24"/>
              </w:rPr>
              <w:t>20</w:t>
            </w:r>
            <w:r>
              <w:rPr>
                <w:rFonts w:hint="eastAsia" w:ascii="仿宋" w:hAnsi="仿宋" w:eastAsia="仿宋"/>
                <w:spacing w:val="-2"/>
                <w:kern w:val="0"/>
                <w:position w:val="-2"/>
                <w:sz w:val="24"/>
                <w:lang w:val="en-US" w:eastAsia="zh-CN"/>
              </w:rPr>
              <w:t>20</w:t>
            </w:r>
          </w:p>
        </w:tc>
        <w:tc>
          <w:tcPr>
            <w:tcW w:w="712" w:type="dxa"/>
            <w:shd w:val="clear" w:color="auto" w:fill="5B9BD5" w:themeFill="accent1"/>
          </w:tcPr>
          <w:p>
            <w:pPr>
              <w:rPr>
                <w:rFonts w:hint="eastAsia" w:ascii="仿宋" w:hAnsi="仿宋" w:eastAsia="仿宋"/>
                <w:spacing w:val="-2"/>
                <w:kern w:val="0"/>
                <w:position w:val="-2"/>
                <w:sz w:val="24"/>
                <w:lang w:val="en-US" w:eastAsia="zh-CN"/>
              </w:rPr>
            </w:pPr>
            <w:r>
              <w:rPr>
                <w:rFonts w:ascii="仿宋" w:hAnsi="仿宋" w:eastAsia="仿宋"/>
                <w:spacing w:val="-2"/>
                <w:kern w:val="0"/>
                <w:position w:val="-2"/>
                <w:sz w:val="24"/>
              </w:rPr>
              <w:t>202</w:t>
            </w:r>
            <w:r>
              <w:rPr>
                <w:rFonts w:hint="eastAsia" w:ascii="仿宋" w:hAnsi="仿宋" w:eastAsia="仿宋"/>
                <w:spacing w:val="-2"/>
                <w:kern w:val="0"/>
                <w:position w:val="-2"/>
                <w:sz w:val="24"/>
                <w:lang w:val="en-US" w:eastAsia="zh-CN"/>
              </w:rPr>
              <w:t>1</w:t>
            </w:r>
          </w:p>
        </w:tc>
        <w:tc>
          <w:tcPr>
            <w:tcW w:w="688" w:type="dxa"/>
            <w:shd w:val="clear" w:color="auto" w:fill="5B9BD5" w:themeFill="accent1"/>
          </w:tcPr>
          <w:p>
            <w:pPr>
              <w:rPr>
                <w:rFonts w:hint="default" w:ascii="仿宋" w:hAnsi="仿宋" w:eastAsia="仿宋"/>
                <w:spacing w:val="-2"/>
                <w:kern w:val="0"/>
                <w:position w:val="-2"/>
                <w:sz w:val="24"/>
                <w:lang w:val="en-US" w:eastAsia="zh-CN"/>
              </w:rPr>
            </w:pPr>
            <w:r>
              <w:rPr>
                <w:rFonts w:ascii="仿宋" w:hAnsi="仿宋" w:eastAsia="仿宋"/>
                <w:spacing w:val="-2"/>
                <w:kern w:val="0"/>
                <w:position w:val="-2"/>
                <w:sz w:val="24"/>
              </w:rPr>
              <w:t>20</w:t>
            </w:r>
            <w:r>
              <w:rPr>
                <w:rFonts w:hint="eastAsia" w:ascii="仿宋" w:hAnsi="仿宋" w:eastAsia="仿宋"/>
                <w:spacing w:val="-2"/>
                <w:kern w:val="0"/>
                <w:position w:val="-2"/>
                <w:sz w:val="24"/>
                <w:lang w:val="en-US" w:eastAsia="zh-CN"/>
              </w:rPr>
              <w:t>20</w:t>
            </w:r>
          </w:p>
        </w:tc>
        <w:tc>
          <w:tcPr>
            <w:tcW w:w="723" w:type="dxa"/>
            <w:shd w:val="clear" w:color="auto" w:fill="5B9BD5" w:themeFill="accent1"/>
          </w:tcPr>
          <w:p>
            <w:pPr>
              <w:rPr>
                <w:rFonts w:hint="eastAsia" w:ascii="仿宋" w:hAnsi="仿宋" w:eastAsia="仿宋"/>
                <w:spacing w:val="-2"/>
                <w:kern w:val="0"/>
                <w:position w:val="-2"/>
                <w:sz w:val="24"/>
                <w:lang w:val="en-US" w:eastAsia="zh-CN"/>
              </w:rPr>
            </w:pPr>
            <w:r>
              <w:rPr>
                <w:rFonts w:ascii="仿宋" w:hAnsi="仿宋" w:eastAsia="仿宋"/>
                <w:spacing w:val="-2"/>
                <w:kern w:val="0"/>
                <w:position w:val="-2"/>
                <w:sz w:val="24"/>
              </w:rPr>
              <w:t>202</w:t>
            </w:r>
            <w:r>
              <w:rPr>
                <w:rFonts w:hint="eastAsia" w:ascii="仿宋" w:hAnsi="仿宋" w:eastAsia="仿宋"/>
                <w:spacing w:val="-2"/>
                <w:kern w:val="0"/>
                <w:position w:val="-2"/>
                <w:sz w:val="24"/>
                <w:lang w:val="en-US" w:eastAsia="zh-CN"/>
              </w:rPr>
              <w:t>1</w:t>
            </w:r>
          </w:p>
        </w:tc>
        <w:tc>
          <w:tcPr>
            <w:tcW w:w="1075" w:type="dxa"/>
            <w:vMerge w:val="continue"/>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ascii="仿宋" w:hAnsi="仿宋" w:eastAsia="仿宋"/>
                <w:spacing w:val="-2"/>
                <w:kern w:val="0"/>
                <w:position w:val="-2"/>
                <w:sz w:val="24"/>
              </w:rPr>
            </w:pPr>
            <w:r>
              <w:rPr>
                <w:rFonts w:ascii="仿宋" w:hAnsi="仿宋" w:eastAsia="仿宋"/>
                <w:spacing w:val="-2"/>
                <w:kern w:val="0"/>
                <w:position w:val="-2"/>
                <w:sz w:val="24"/>
              </w:rPr>
              <w:t>1</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eastAsia="zh-CN"/>
              </w:rPr>
              <w:t>装备</w:t>
            </w:r>
            <w:r>
              <w:rPr>
                <w:rFonts w:hint="eastAsia" w:ascii="仿宋" w:hAnsi="仿宋" w:eastAsia="仿宋"/>
                <w:spacing w:val="-2"/>
                <w:kern w:val="0"/>
                <w:position w:val="-2"/>
                <w:sz w:val="24"/>
              </w:rPr>
              <w:t>制造</w:t>
            </w:r>
          </w:p>
        </w:tc>
        <w:tc>
          <w:tcPr>
            <w:tcW w:w="2628"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rPr>
              <w:t>机电</w:t>
            </w:r>
            <w:r>
              <w:rPr>
                <w:rFonts w:hint="eastAsia" w:ascii="仿宋" w:hAnsi="仿宋" w:eastAsia="仿宋"/>
                <w:spacing w:val="-2"/>
                <w:kern w:val="0"/>
                <w:position w:val="-2"/>
                <w:sz w:val="24"/>
                <w:lang w:eastAsia="zh-CN"/>
              </w:rPr>
              <w:t>技术应用</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0</w:t>
            </w:r>
          </w:p>
        </w:tc>
        <w:tc>
          <w:tcPr>
            <w:tcW w:w="71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0</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247</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36</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ascii="仿宋" w:hAnsi="仿宋" w:eastAsia="仿宋"/>
                <w:spacing w:val="-2"/>
                <w:kern w:val="0"/>
                <w:position w:val="-2"/>
                <w:sz w:val="24"/>
              </w:rPr>
            </w:pPr>
            <w:r>
              <w:rPr>
                <w:rFonts w:ascii="仿宋" w:hAnsi="仿宋" w:eastAsia="仿宋"/>
                <w:spacing w:val="-2"/>
                <w:kern w:val="0"/>
                <w:position w:val="-2"/>
                <w:sz w:val="24"/>
              </w:rPr>
              <w:t>2</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eastAsia="zh-CN"/>
              </w:rPr>
              <w:t>电子与</w:t>
            </w:r>
            <w:r>
              <w:rPr>
                <w:rFonts w:hint="eastAsia" w:ascii="仿宋" w:hAnsi="仿宋" w:eastAsia="仿宋"/>
                <w:spacing w:val="-2"/>
                <w:kern w:val="0"/>
                <w:position w:val="-2"/>
                <w:sz w:val="24"/>
              </w:rPr>
              <w:t>信息</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计算机应用</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158</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36</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297</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196</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val="en-US" w:eastAsia="zh-CN"/>
              </w:rPr>
              <w:t>市骨干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eastAsia="zh-CN"/>
              </w:rPr>
              <w:t>电子与</w:t>
            </w:r>
            <w:r>
              <w:rPr>
                <w:rFonts w:hint="eastAsia" w:ascii="仿宋" w:hAnsi="仿宋" w:eastAsia="仿宋"/>
                <w:spacing w:val="-2"/>
                <w:kern w:val="0"/>
                <w:position w:val="-2"/>
                <w:sz w:val="24"/>
              </w:rPr>
              <w:t>信息</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数字媒体技术</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37</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36</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37</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92</w:t>
            </w:r>
          </w:p>
        </w:tc>
        <w:tc>
          <w:tcPr>
            <w:tcW w:w="1075" w:type="dxa"/>
          </w:tcPr>
          <w:p>
            <w:pPr>
              <w:widowControl/>
              <w:rPr>
                <w:rFonts w:hint="default" w:ascii="仿宋" w:hAnsi="仿宋" w:eastAsia="仿宋"/>
                <w:spacing w:val="-2"/>
                <w:kern w:val="0"/>
                <w:position w:val="-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4</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eastAsia="zh-CN"/>
              </w:rPr>
              <w:t>电子与</w:t>
            </w:r>
            <w:r>
              <w:rPr>
                <w:rFonts w:hint="eastAsia" w:ascii="仿宋" w:hAnsi="仿宋" w:eastAsia="仿宋"/>
                <w:spacing w:val="-2"/>
                <w:kern w:val="0"/>
                <w:position w:val="-2"/>
                <w:sz w:val="24"/>
              </w:rPr>
              <w:t>信息</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物联网技术应用</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38</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46</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38</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86</w:t>
            </w:r>
          </w:p>
        </w:tc>
        <w:tc>
          <w:tcPr>
            <w:tcW w:w="1075"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校优质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5</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旅游</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eastAsia="zh-CN"/>
              </w:rPr>
              <w:t>高星级饭店运营</w:t>
            </w:r>
            <w:r>
              <w:rPr>
                <w:rFonts w:hint="eastAsia" w:ascii="仿宋" w:hAnsi="仿宋" w:eastAsia="仿宋"/>
                <w:spacing w:val="-2"/>
                <w:kern w:val="0"/>
                <w:position w:val="-2"/>
                <w:sz w:val="24"/>
              </w:rPr>
              <w:t>与管理</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73</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98</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236</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236</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6</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旅游</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中餐烹饪</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89</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95</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249</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258</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7</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文化艺术</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工艺美术</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73</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74</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212</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191</w:t>
            </w:r>
          </w:p>
        </w:tc>
        <w:tc>
          <w:tcPr>
            <w:tcW w:w="1075"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市骨干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8</w:t>
            </w:r>
          </w:p>
        </w:tc>
        <w:tc>
          <w:tcPr>
            <w:tcW w:w="1900"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教育与体育</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运动训练</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66</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57</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139</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146</w:t>
            </w:r>
          </w:p>
        </w:tc>
        <w:tc>
          <w:tcPr>
            <w:tcW w:w="1075"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省创新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9</w:t>
            </w:r>
          </w:p>
        </w:tc>
        <w:tc>
          <w:tcPr>
            <w:tcW w:w="1900"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rPr>
              <w:t>教育</w:t>
            </w:r>
            <w:r>
              <w:rPr>
                <w:rFonts w:hint="eastAsia" w:ascii="仿宋" w:hAnsi="仿宋" w:eastAsia="仿宋"/>
                <w:spacing w:val="-2"/>
                <w:kern w:val="0"/>
                <w:position w:val="-2"/>
                <w:sz w:val="24"/>
                <w:lang w:eastAsia="zh-CN"/>
              </w:rPr>
              <w:t>与体育</w:t>
            </w:r>
          </w:p>
        </w:tc>
        <w:tc>
          <w:tcPr>
            <w:tcW w:w="2628"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幼儿保育（</w:t>
            </w:r>
            <w:r>
              <w:rPr>
                <w:rFonts w:hint="eastAsia" w:ascii="仿宋" w:hAnsi="仿宋" w:eastAsia="仿宋"/>
                <w:spacing w:val="-2"/>
                <w:kern w:val="0"/>
                <w:position w:val="-2"/>
                <w:sz w:val="24"/>
              </w:rPr>
              <w:t>学前教育</w:t>
            </w:r>
            <w:r>
              <w:rPr>
                <w:rFonts w:hint="eastAsia" w:ascii="仿宋" w:hAnsi="仿宋" w:eastAsia="仿宋"/>
                <w:spacing w:val="-2"/>
                <w:kern w:val="0"/>
                <w:position w:val="-2"/>
                <w:sz w:val="24"/>
                <w:lang w:eastAsia="zh-CN"/>
              </w:rPr>
              <w:t>）</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115</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123</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313</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344</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10</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电气化铁道供电</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42</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45</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42</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126</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11</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城市轨道交通电</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41</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34</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41</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116</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eastAsia" w:ascii="仿宋" w:hAnsi="仿宋" w:eastAsia="仿宋"/>
                <w:spacing w:val="-2"/>
                <w:kern w:val="0"/>
                <w:position w:val="-2"/>
                <w:sz w:val="24"/>
                <w:lang w:val="en-US" w:eastAsia="zh-CN"/>
              </w:rPr>
            </w:pPr>
            <w:r>
              <w:rPr>
                <w:rFonts w:ascii="仿宋" w:hAnsi="仿宋" w:eastAsia="仿宋"/>
                <w:spacing w:val="-2"/>
                <w:kern w:val="0"/>
                <w:position w:val="-2"/>
                <w:sz w:val="24"/>
              </w:rPr>
              <w:t>1</w:t>
            </w:r>
            <w:r>
              <w:rPr>
                <w:rFonts w:hint="eastAsia" w:ascii="仿宋" w:hAnsi="仿宋" w:eastAsia="仿宋"/>
                <w:spacing w:val="-2"/>
                <w:kern w:val="0"/>
                <w:position w:val="-2"/>
                <w:sz w:val="24"/>
                <w:lang w:val="en-US" w:eastAsia="zh-CN"/>
              </w:rPr>
              <w:t>2</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航空服务</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33</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29</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33</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91</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Align w:val="top"/>
          </w:tcPr>
          <w:p>
            <w:pPr>
              <w:widowControl/>
              <w:rPr>
                <w:rFonts w:hint="eastAsia"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w:t>
            </w:r>
            <w:r>
              <w:rPr>
                <w:rFonts w:hint="eastAsia" w:ascii="仿宋" w:hAnsi="仿宋" w:eastAsia="仿宋"/>
                <w:spacing w:val="-2"/>
                <w:kern w:val="0"/>
                <w:position w:val="-2"/>
                <w:sz w:val="24"/>
                <w:lang w:val="en-US" w:eastAsia="zh-CN"/>
              </w:rPr>
              <w:t>3</w:t>
            </w:r>
          </w:p>
        </w:tc>
        <w:tc>
          <w:tcPr>
            <w:tcW w:w="1900"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交通运输</w:t>
            </w:r>
          </w:p>
        </w:tc>
        <w:tc>
          <w:tcPr>
            <w:tcW w:w="2628"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汽车美容与装潢</w:t>
            </w:r>
          </w:p>
        </w:tc>
        <w:tc>
          <w:tcPr>
            <w:tcW w:w="688" w:type="dxa"/>
            <w:vAlign w:val="top"/>
          </w:tcPr>
          <w:p>
            <w:pPr>
              <w:widowControl/>
              <w:rPr>
                <w:rFonts w:hint="eastAsia"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0</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0</w:t>
            </w:r>
          </w:p>
        </w:tc>
        <w:tc>
          <w:tcPr>
            <w:tcW w:w="688" w:type="dxa"/>
            <w:vAlign w:val="top"/>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35</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35</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Align w:val="top"/>
          </w:tcPr>
          <w:p>
            <w:pPr>
              <w:widowControl/>
              <w:rPr>
                <w:rFonts w:hint="eastAsia"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w:t>
            </w:r>
            <w:r>
              <w:rPr>
                <w:rFonts w:hint="eastAsia" w:ascii="仿宋" w:hAnsi="仿宋" w:eastAsia="仿宋"/>
                <w:spacing w:val="-2"/>
                <w:kern w:val="0"/>
                <w:position w:val="-2"/>
                <w:sz w:val="24"/>
                <w:lang w:val="en-US" w:eastAsia="zh-CN"/>
              </w:rPr>
              <w:t>4</w:t>
            </w:r>
          </w:p>
        </w:tc>
        <w:tc>
          <w:tcPr>
            <w:tcW w:w="1900"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18"/>
                <w:szCs w:val="15"/>
                <w:lang w:eastAsia="zh-CN"/>
              </w:rPr>
              <w:t>船舶与海洋工程装备</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2"/>
                <w:szCs w:val="20"/>
              </w:rPr>
              <w:t>无人机操控与维护</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34</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27</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34</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60</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vAlign w:val="top"/>
          </w:tcPr>
          <w:p>
            <w:pPr>
              <w:widowControl/>
              <w:rPr>
                <w:rFonts w:hint="eastAsia"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1</w:t>
            </w:r>
            <w:r>
              <w:rPr>
                <w:rFonts w:hint="eastAsia" w:ascii="仿宋" w:hAnsi="仿宋" w:eastAsia="仿宋"/>
                <w:spacing w:val="-2"/>
                <w:kern w:val="0"/>
                <w:position w:val="-2"/>
                <w:sz w:val="24"/>
                <w:lang w:val="en-US" w:eastAsia="zh-CN"/>
              </w:rPr>
              <w:t>5</w:t>
            </w:r>
          </w:p>
        </w:tc>
        <w:tc>
          <w:tcPr>
            <w:tcW w:w="1900"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lang w:eastAsia="zh-CN"/>
              </w:rPr>
              <w:t>药品与医疗器械</w:t>
            </w:r>
          </w:p>
        </w:tc>
        <w:tc>
          <w:tcPr>
            <w:tcW w:w="2628"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制药设备维修</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34</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30</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34</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60</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16</w:t>
            </w:r>
          </w:p>
        </w:tc>
        <w:tc>
          <w:tcPr>
            <w:tcW w:w="1900"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财经商贸</w:t>
            </w:r>
          </w:p>
        </w:tc>
        <w:tc>
          <w:tcPr>
            <w:tcW w:w="2628" w:type="dxa"/>
          </w:tcPr>
          <w:p>
            <w:pPr>
              <w:widowControl/>
              <w:rPr>
                <w:rFonts w:hint="eastAsia" w:ascii="仿宋" w:hAnsi="仿宋" w:eastAsia="仿宋"/>
                <w:spacing w:val="-2"/>
                <w:kern w:val="0"/>
                <w:position w:val="-2"/>
                <w:sz w:val="24"/>
                <w:lang w:eastAsia="zh-CN"/>
              </w:rPr>
            </w:pPr>
            <w:r>
              <w:rPr>
                <w:rFonts w:hint="eastAsia" w:ascii="仿宋" w:hAnsi="仿宋" w:eastAsia="仿宋"/>
                <w:spacing w:val="-2"/>
                <w:kern w:val="0"/>
                <w:position w:val="-2"/>
                <w:sz w:val="24"/>
              </w:rPr>
              <w:t>会计</w:t>
            </w:r>
            <w:r>
              <w:rPr>
                <w:rFonts w:hint="eastAsia" w:ascii="仿宋" w:hAnsi="仿宋" w:eastAsia="仿宋"/>
                <w:spacing w:val="-2"/>
                <w:kern w:val="0"/>
                <w:position w:val="-2"/>
                <w:sz w:val="24"/>
                <w:lang w:eastAsia="zh-CN"/>
              </w:rPr>
              <w:t>事务</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38</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37</w:t>
            </w:r>
          </w:p>
        </w:tc>
        <w:tc>
          <w:tcPr>
            <w:tcW w:w="688" w:type="dxa"/>
            <w:vAlign w:val="top"/>
          </w:tcPr>
          <w:p>
            <w:pPr>
              <w:widowControl/>
              <w:rPr>
                <w:rFonts w:ascii="仿宋" w:hAnsi="仿宋" w:eastAsia="仿宋" w:cs="Times New Roman"/>
                <w:spacing w:val="-2"/>
                <w:kern w:val="0"/>
                <w:position w:val="-2"/>
                <w:sz w:val="24"/>
                <w:szCs w:val="21"/>
                <w:lang w:val="en-US" w:eastAsia="zh-CN" w:bidi="ar-SA"/>
              </w:rPr>
            </w:pPr>
            <w:r>
              <w:rPr>
                <w:rFonts w:ascii="仿宋" w:hAnsi="仿宋" w:eastAsia="仿宋"/>
                <w:spacing w:val="-2"/>
                <w:kern w:val="0"/>
                <w:position w:val="-2"/>
                <w:sz w:val="24"/>
              </w:rPr>
              <w:t>38</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112</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20" w:type="dxa"/>
            <w:gridSpan w:val="3"/>
          </w:tcPr>
          <w:p>
            <w:pPr>
              <w:widowControl/>
              <w:ind w:firstLine="1303" w:firstLineChars="550"/>
              <w:rPr>
                <w:rFonts w:ascii="仿宋" w:hAnsi="仿宋" w:eastAsia="仿宋"/>
                <w:spacing w:val="-2"/>
                <w:kern w:val="0"/>
                <w:position w:val="-2"/>
                <w:sz w:val="24"/>
              </w:rPr>
            </w:pPr>
            <w:r>
              <w:rPr>
                <w:rFonts w:hint="eastAsia" w:ascii="仿宋" w:hAnsi="仿宋" w:eastAsia="仿宋"/>
                <w:b/>
                <w:bCs/>
                <w:spacing w:val="-2"/>
                <w:kern w:val="0"/>
                <w:position w:val="-2"/>
                <w:sz w:val="24"/>
              </w:rPr>
              <w:t>合</w:t>
            </w:r>
            <w:r>
              <w:rPr>
                <w:rFonts w:ascii="仿宋" w:hAnsi="仿宋" w:eastAsia="仿宋"/>
                <w:b/>
                <w:bCs/>
                <w:spacing w:val="-2"/>
                <w:kern w:val="0"/>
                <w:position w:val="-2"/>
                <w:sz w:val="24"/>
              </w:rPr>
              <w:t xml:space="preserve">             </w:t>
            </w:r>
            <w:r>
              <w:rPr>
                <w:rFonts w:hint="eastAsia" w:ascii="仿宋" w:hAnsi="仿宋" w:eastAsia="仿宋"/>
                <w:b/>
                <w:bCs/>
                <w:spacing w:val="-2"/>
                <w:kern w:val="0"/>
                <w:position w:val="-2"/>
                <w:sz w:val="24"/>
              </w:rPr>
              <w:t>计</w:t>
            </w:r>
          </w:p>
        </w:tc>
        <w:tc>
          <w:tcPr>
            <w:tcW w:w="688"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796</w:t>
            </w:r>
          </w:p>
        </w:tc>
        <w:tc>
          <w:tcPr>
            <w:tcW w:w="712"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767</w:t>
            </w:r>
          </w:p>
        </w:tc>
        <w:tc>
          <w:tcPr>
            <w:tcW w:w="688" w:type="dxa"/>
            <w:vAlign w:val="top"/>
          </w:tcPr>
          <w:p>
            <w:pPr>
              <w:widowControl/>
              <w:rPr>
                <w:rFonts w:hint="default" w:ascii="仿宋" w:hAnsi="仿宋" w:eastAsia="仿宋" w:cs="Times New Roman"/>
                <w:spacing w:val="-2"/>
                <w:kern w:val="0"/>
                <w:position w:val="-2"/>
                <w:sz w:val="24"/>
                <w:szCs w:val="21"/>
                <w:lang w:val="en-US" w:eastAsia="zh-CN" w:bidi="ar-SA"/>
              </w:rPr>
            </w:pPr>
            <w:r>
              <w:rPr>
                <w:rFonts w:hint="eastAsia" w:ascii="仿宋" w:hAnsi="仿宋" w:eastAsia="仿宋" w:cs="Times New Roman"/>
                <w:spacing w:val="-2"/>
                <w:kern w:val="0"/>
                <w:position w:val="-2"/>
                <w:sz w:val="24"/>
                <w:szCs w:val="21"/>
                <w:lang w:val="en-US" w:eastAsia="zh-CN" w:bidi="ar-SA"/>
              </w:rPr>
              <w:t>1990</w:t>
            </w:r>
          </w:p>
        </w:tc>
        <w:tc>
          <w:tcPr>
            <w:tcW w:w="723"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2185</w:t>
            </w:r>
          </w:p>
        </w:tc>
        <w:tc>
          <w:tcPr>
            <w:tcW w:w="1075" w:type="dxa"/>
            <w:vAlign w:val="top"/>
          </w:tcPr>
          <w:p>
            <w:pPr>
              <w:widowControl/>
              <w:rPr>
                <w:rFonts w:ascii="仿宋" w:hAnsi="仿宋" w:eastAsia="仿宋" w:cs="Times New Roman"/>
                <w:spacing w:val="-2"/>
                <w:kern w:val="0"/>
                <w:position w:val="-2"/>
                <w:sz w:val="24"/>
                <w:szCs w:val="21"/>
                <w:lang w:val="en-US" w:eastAsia="zh-CN" w:bidi="ar-SA"/>
              </w:rPr>
            </w:pPr>
          </w:p>
        </w:tc>
      </w:tr>
    </w:tbl>
    <w:p>
      <w:pPr>
        <w:widowControl/>
        <w:shd w:val="clear" w:color="auto" w:fill="FFFFFF"/>
        <w:ind w:firstLine="482" w:firstLineChars="200"/>
        <w:rPr>
          <w:rFonts w:hint="eastAsia" w:asciiTheme="minorEastAsia" w:hAnsiTheme="minorEastAsia" w:eastAsiaTheme="minorEastAsia"/>
          <w:b/>
          <w:sz w:val="24"/>
          <w:szCs w:val="32"/>
        </w:rPr>
      </w:pPr>
    </w:p>
    <w:p>
      <w:pPr>
        <w:widowControl/>
        <w:shd w:val="clear" w:color="auto" w:fill="FFFFFF"/>
        <w:ind w:firstLine="482" w:firstLineChars="200"/>
        <w:rPr>
          <w:rFonts w:hint="eastAsia" w:ascii="仿宋" w:hAnsi="仿宋" w:eastAsiaTheme="minorEastAsia"/>
          <w:sz w:val="24"/>
          <w:szCs w:val="32"/>
          <w:lang w:eastAsia="zh-CN"/>
        </w:rPr>
      </w:pPr>
      <w:r>
        <w:rPr>
          <w:rFonts w:hint="eastAsia" w:asciiTheme="minorEastAsia" w:hAnsiTheme="minorEastAsia" w:eastAsiaTheme="minorEastAsia"/>
          <w:b/>
          <w:sz w:val="24"/>
          <w:szCs w:val="32"/>
        </w:rPr>
        <w:t>1.2</w:t>
      </w:r>
      <w:r>
        <w:rPr>
          <w:rFonts w:hint="eastAsia" w:asciiTheme="minorEastAsia" w:hAnsiTheme="minorEastAsia" w:eastAsiaTheme="minorEastAsia"/>
          <w:b/>
          <w:sz w:val="24"/>
          <w:szCs w:val="32"/>
          <w:lang w:eastAsia="zh-CN"/>
        </w:rPr>
        <w:t>设施设备</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w:t>
      </w:r>
      <w:r>
        <w:rPr>
          <w:rFonts w:hint="eastAsia" w:cs="Arial" w:asciiTheme="minorEastAsia" w:hAnsiTheme="minorEastAsia" w:eastAsiaTheme="minorEastAsia"/>
          <w:b/>
          <w:spacing w:val="-2"/>
          <w:position w:val="-2"/>
          <w:sz w:val="24"/>
          <w:lang w:val="en-US" w:eastAsia="zh-CN"/>
        </w:rPr>
        <w:t>2</w:t>
      </w:r>
      <w:r>
        <w:rPr>
          <w:rFonts w:hint="eastAsia" w:cs="Arial" w:asciiTheme="minorEastAsia" w:hAnsiTheme="minorEastAsia" w:eastAsiaTheme="minorEastAsia"/>
          <w:b/>
          <w:spacing w:val="-2"/>
          <w:position w:val="-2"/>
          <w:sz w:val="24"/>
        </w:rPr>
        <w:t>.1教学仪器设备值</w:t>
      </w:r>
    </w:p>
    <w:p>
      <w:pPr>
        <w:widowControl/>
        <w:shd w:val="clear" w:color="auto" w:fill="FFFFFF"/>
        <w:spacing w:line="440" w:lineRule="exact"/>
        <w:ind w:firstLine="480" w:firstLineChars="200"/>
        <w:rPr>
          <w:rFonts w:hint="eastAsia" w:asciiTheme="minorEastAsia" w:hAnsiTheme="minorEastAsia" w:eastAsiaTheme="minorEastAsia"/>
          <w:sz w:val="24"/>
          <w:szCs w:val="32"/>
          <w:lang w:eastAsia="zh-CN"/>
        </w:rPr>
      </w:pPr>
      <w:r>
        <w:rPr>
          <w:rFonts w:hint="eastAsia" w:asciiTheme="minorEastAsia" w:hAnsiTheme="minorEastAsia" w:eastAsiaTheme="minorEastAsia"/>
          <w:sz w:val="24"/>
          <w:szCs w:val="32"/>
        </w:rPr>
        <w:t>学校现有实训仪器设备</w:t>
      </w:r>
      <w:r>
        <w:rPr>
          <w:rFonts w:asciiTheme="minorEastAsia" w:hAnsiTheme="minorEastAsia" w:eastAsiaTheme="minorEastAsia"/>
          <w:sz w:val="24"/>
          <w:szCs w:val="32"/>
        </w:rPr>
        <w:t>2</w:t>
      </w:r>
      <w:r>
        <w:rPr>
          <w:rFonts w:hint="eastAsia" w:asciiTheme="minorEastAsia" w:hAnsiTheme="minorEastAsia" w:eastAsiaTheme="minorEastAsia"/>
          <w:sz w:val="24"/>
          <w:szCs w:val="32"/>
          <w:lang w:val="en-US" w:eastAsia="zh-CN"/>
        </w:rPr>
        <w:t>820.51</w:t>
      </w:r>
      <w:r>
        <w:rPr>
          <w:rFonts w:hint="eastAsia" w:asciiTheme="minorEastAsia" w:hAnsiTheme="minorEastAsia" w:eastAsiaTheme="minorEastAsia"/>
          <w:sz w:val="24"/>
          <w:szCs w:val="32"/>
        </w:rPr>
        <w:t>万元，比20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年新增</w:t>
      </w:r>
      <w:r>
        <w:rPr>
          <w:rFonts w:hint="eastAsia" w:asciiTheme="minorEastAsia" w:hAnsiTheme="minorEastAsia" w:eastAsiaTheme="minorEastAsia"/>
          <w:sz w:val="24"/>
          <w:szCs w:val="32"/>
          <w:lang w:val="en-US" w:eastAsia="zh-CN"/>
        </w:rPr>
        <w:t>573.05</w:t>
      </w:r>
      <w:r>
        <w:rPr>
          <w:rFonts w:hint="eastAsia" w:asciiTheme="minorEastAsia" w:hAnsiTheme="minorEastAsia" w:eastAsiaTheme="minorEastAsia"/>
          <w:sz w:val="24"/>
          <w:szCs w:val="32"/>
        </w:rPr>
        <w:t>万元，增长率为</w:t>
      </w:r>
      <w:r>
        <w:rPr>
          <w:rFonts w:hint="eastAsia" w:asciiTheme="minorEastAsia" w:hAnsiTheme="minorEastAsia" w:eastAsiaTheme="minorEastAsia"/>
          <w:sz w:val="24"/>
          <w:szCs w:val="32"/>
          <w:lang w:val="en-US" w:eastAsia="zh-CN"/>
        </w:rPr>
        <w:t>25.5</w:t>
      </w:r>
      <w:r>
        <w:rPr>
          <w:rFonts w:hint="eastAsia" w:asciiTheme="minorEastAsia" w:hAnsiTheme="minorEastAsia" w:eastAsiaTheme="minorEastAsia"/>
          <w:sz w:val="24"/>
          <w:szCs w:val="32"/>
        </w:rPr>
        <w:t>%；生均仪器设备值为</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2908.51</w:t>
      </w:r>
      <w:r>
        <w:rPr>
          <w:rFonts w:hint="eastAsia" w:asciiTheme="minorEastAsia" w:hAnsiTheme="minorEastAsia" w:eastAsiaTheme="minorEastAsia"/>
          <w:sz w:val="24"/>
          <w:szCs w:val="32"/>
        </w:rPr>
        <w:t>元，比20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w:t>
      </w:r>
      <w:r>
        <w:rPr>
          <w:rFonts w:hint="eastAsia" w:asciiTheme="minorEastAsia" w:hAnsiTheme="minorEastAsia" w:eastAsiaTheme="minorEastAsia"/>
          <w:sz w:val="24"/>
          <w:szCs w:val="32"/>
          <w:lang w:eastAsia="zh-CN"/>
        </w:rPr>
        <w:t>增加</w:t>
      </w:r>
      <w:r>
        <w:rPr>
          <w:rFonts w:hint="eastAsia" w:asciiTheme="minorEastAsia" w:hAnsiTheme="minorEastAsia" w:eastAsiaTheme="minorEastAsia"/>
          <w:sz w:val="24"/>
          <w:szCs w:val="32"/>
          <w:lang w:val="en-US" w:eastAsia="zh-CN"/>
        </w:rPr>
        <w:t>1615.51</w:t>
      </w:r>
      <w:r>
        <w:rPr>
          <w:rFonts w:hint="eastAsia" w:asciiTheme="minorEastAsia" w:hAnsiTheme="minorEastAsia" w:eastAsiaTheme="minorEastAsia"/>
          <w:sz w:val="24"/>
          <w:szCs w:val="32"/>
        </w:rPr>
        <w:t>元，</w:t>
      </w:r>
      <w:r>
        <w:rPr>
          <w:rFonts w:hint="eastAsia" w:asciiTheme="minorEastAsia" w:hAnsiTheme="minorEastAsia" w:eastAsiaTheme="minorEastAsia"/>
          <w:sz w:val="24"/>
          <w:szCs w:val="32"/>
          <w:lang w:val="en-US" w:eastAsia="zh-CN"/>
        </w:rPr>
        <w:t>学校不断投入资金改善实习实训条件，增加实习实训工位，强化学生技术技能积累和实践教学</w:t>
      </w:r>
      <w:r>
        <w:rPr>
          <w:rFonts w:hint="eastAsia" w:asciiTheme="minorEastAsia" w:hAnsiTheme="minorEastAsia" w:eastAsiaTheme="minorEastAsia"/>
          <w:sz w:val="24"/>
          <w:szCs w:val="32"/>
        </w:rPr>
        <w:t>。学校建有三百兆主干校园网、多媒体、校园演播系统和视频非线编系统（影音后期制作）等现代化教学系统，校企合作校外实训基地</w:t>
      </w:r>
      <w:r>
        <w:rPr>
          <w:rFonts w:asciiTheme="minorEastAsia" w:hAnsiTheme="minorEastAsia" w:eastAsiaTheme="minorEastAsia"/>
          <w:sz w:val="24"/>
          <w:szCs w:val="32"/>
        </w:rPr>
        <w:t>6</w:t>
      </w:r>
      <w:r>
        <w:rPr>
          <w:rFonts w:hint="eastAsia" w:asciiTheme="minorEastAsia" w:hAnsiTheme="minorEastAsia" w:eastAsiaTheme="minorEastAsia"/>
          <w:sz w:val="24"/>
          <w:szCs w:val="32"/>
          <w:lang w:val="en-US" w:eastAsia="zh-CN"/>
        </w:rPr>
        <w:t>0</w:t>
      </w:r>
      <w:r>
        <w:rPr>
          <w:rFonts w:hint="eastAsia" w:asciiTheme="minorEastAsia" w:hAnsiTheme="minorEastAsia" w:eastAsiaTheme="minorEastAsia"/>
          <w:sz w:val="24"/>
          <w:szCs w:val="32"/>
        </w:rPr>
        <w:t>个，年内新增</w:t>
      </w:r>
      <w:r>
        <w:rPr>
          <w:rFonts w:asciiTheme="minorEastAsia" w:hAnsiTheme="minorEastAsia" w:eastAsiaTheme="minorEastAsia"/>
          <w:sz w:val="24"/>
          <w:szCs w:val="32"/>
        </w:rPr>
        <w:t>3</w:t>
      </w:r>
      <w:r>
        <w:rPr>
          <w:rFonts w:hint="eastAsia" w:asciiTheme="minorEastAsia" w:hAnsiTheme="minorEastAsia" w:eastAsiaTheme="minorEastAsia"/>
          <w:sz w:val="24"/>
          <w:szCs w:val="32"/>
        </w:rPr>
        <w:t>个。</w:t>
      </w:r>
    </w:p>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rPr>
      </w:pP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w:t>
      </w:r>
      <w:r>
        <w:rPr>
          <w:rFonts w:hint="eastAsia" w:cs="Arial" w:asciiTheme="minorEastAsia" w:hAnsiTheme="minorEastAsia" w:eastAsiaTheme="minorEastAsia"/>
          <w:b/>
          <w:spacing w:val="-2"/>
          <w:position w:val="-2"/>
          <w:sz w:val="24"/>
          <w:lang w:val="en-US" w:eastAsia="zh-CN"/>
        </w:rPr>
        <w:t>2</w:t>
      </w:r>
      <w:r>
        <w:rPr>
          <w:rFonts w:hint="eastAsia" w:cs="Arial" w:asciiTheme="minorEastAsia" w:hAnsiTheme="minorEastAsia" w:eastAsiaTheme="minorEastAsia"/>
          <w:b/>
          <w:spacing w:val="-2"/>
          <w:position w:val="-2"/>
          <w:sz w:val="24"/>
        </w:rPr>
        <w:t>.2实训条件</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lang w:eastAsia="zh-CN"/>
        </w:rPr>
        <w:t>学校现开设</w:t>
      </w:r>
      <w:r>
        <w:rPr>
          <w:rFonts w:hint="eastAsia" w:asciiTheme="minorEastAsia" w:hAnsiTheme="minorEastAsia" w:eastAsiaTheme="minorEastAsia"/>
          <w:sz w:val="24"/>
          <w:szCs w:val="32"/>
          <w:lang w:val="en-US" w:eastAsia="zh-CN"/>
        </w:rPr>
        <w:t>16个专业，2021年已经建成专业实习实训室93个，较上年增加7个，可提供工位2100个，较上年增加120个工位，能满足各专业学生校内实习实训需要，实践课时平均接近总课时的50%。</w:t>
      </w: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与上年度对比后，</w:t>
      </w:r>
      <w:r>
        <w:rPr>
          <w:rFonts w:hint="eastAsia" w:cs="Arial" w:asciiTheme="minorEastAsia" w:hAnsiTheme="minorEastAsia" w:eastAsiaTheme="minorEastAsia"/>
          <w:spacing w:val="-2"/>
          <w:kern w:val="0"/>
          <w:position w:val="-2"/>
          <w:sz w:val="24"/>
          <w:shd w:val="clear" w:color="auto" w:fill="FFFFFF"/>
        </w:rPr>
        <w:t>变化趋势</w:t>
      </w:r>
      <w:r>
        <w:rPr>
          <w:rFonts w:hint="eastAsia" w:cs="Arial" w:asciiTheme="minorEastAsia" w:hAnsiTheme="minorEastAsia" w:eastAsiaTheme="minorEastAsia"/>
          <w:spacing w:val="-2"/>
          <w:kern w:val="0"/>
          <w:position w:val="-2"/>
          <w:sz w:val="24"/>
          <w:shd w:val="clear" w:color="auto" w:fill="FFFFFF"/>
          <w:lang w:eastAsia="zh-CN"/>
        </w:rPr>
        <w:t>，</w:t>
      </w:r>
      <w:r>
        <w:rPr>
          <w:rFonts w:hint="eastAsia" w:asciiTheme="minorEastAsia" w:hAnsiTheme="minorEastAsia" w:eastAsiaTheme="minorEastAsia"/>
          <w:sz w:val="24"/>
          <w:szCs w:val="32"/>
        </w:rPr>
        <w:t>详见</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年校内实习实训基地情况</w:t>
      </w:r>
      <w:r>
        <w:rPr>
          <w:rFonts w:hint="eastAsia" w:cs="Arial" w:asciiTheme="minorEastAsia" w:hAnsiTheme="minorEastAsia" w:eastAsiaTheme="minorEastAsia"/>
          <w:spacing w:val="-2"/>
          <w:position w:val="-2"/>
          <w:sz w:val="24"/>
        </w:rPr>
        <w:t>统计表1-</w:t>
      </w:r>
      <w:r>
        <w:rPr>
          <w:rFonts w:hint="eastAsia" w:cs="Arial" w:asciiTheme="minorEastAsia" w:hAnsiTheme="minorEastAsia" w:eastAsiaTheme="minorEastAsia"/>
          <w:spacing w:val="-2"/>
          <w:position w:val="-2"/>
          <w:sz w:val="24"/>
          <w:lang w:val="en-US" w:eastAsia="zh-CN"/>
        </w:rPr>
        <w:t>4</w:t>
      </w:r>
      <w:r>
        <w:rPr>
          <w:rFonts w:cs="Arial" w:asciiTheme="minorEastAsia" w:hAnsiTheme="minorEastAsia" w:eastAsiaTheme="minorEastAsia"/>
          <w:spacing w:val="-2"/>
          <w:position w:val="-2"/>
          <w:sz w:val="24"/>
        </w:rPr>
        <w:t>。</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hint="eastAsia" w:asciiTheme="minorEastAsia" w:hAnsiTheme="minorEastAsia" w:eastAsiaTheme="minorEastAsia"/>
          <w:sz w:val="24"/>
          <w:szCs w:val="32"/>
          <w:lang w:val="en-US" w:eastAsia="zh-CN"/>
        </w:rPr>
        <w:t>4</w:t>
      </w:r>
      <w:r>
        <w:rPr>
          <w:rFonts w:hint="eastAsia" w:asciiTheme="minorEastAsia" w:hAnsiTheme="minorEastAsia" w:eastAsiaTheme="minorEastAsia"/>
          <w:sz w:val="24"/>
          <w:szCs w:val="32"/>
        </w:rPr>
        <w:t xml:space="preserve">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w:t>
      </w:r>
      <w:r>
        <w:rPr>
          <w:rFonts w:hint="eastAsia" w:cs="Arial" w:asciiTheme="minorEastAsia" w:hAnsiTheme="minorEastAsia" w:eastAsiaTheme="minorEastAsia"/>
          <w:spacing w:val="-2"/>
          <w:kern w:val="0"/>
          <w:position w:val="-2"/>
          <w:sz w:val="24"/>
          <w:shd w:val="clear" w:color="auto" w:fill="FFFFFF"/>
        </w:rPr>
        <w:t>校内实习实训基地</w:t>
      </w:r>
      <w:r>
        <w:rPr>
          <w:rFonts w:hint="eastAsia" w:asciiTheme="minorEastAsia" w:hAnsiTheme="minorEastAsia" w:eastAsiaTheme="minorEastAsia"/>
          <w:sz w:val="24"/>
          <w:szCs w:val="32"/>
        </w:rPr>
        <w:t>情况统计表</w:t>
      </w:r>
    </w:p>
    <w:tbl>
      <w:tblPr>
        <w:tblStyle w:val="10"/>
        <w:tblW w:w="8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2055"/>
        <w:gridCol w:w="765"/>
        <w:gridCol w:w="1920"/>
        <w:gridCol w:w="1409"/>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shd w:val="clear" w:color="auto" w:fill="5B9BD5" w:themeFill="accent1"/>
            <w:vAlign w:val="center"/>
          </w:tcPr>
          <w:p>
            <w:pPr>
              <w:jc w:val="center"/>
              <w:rPr>
                <w:rFonts w:asciiTheme="majorEastAsia" w:hAnsiTheme="majorEastAsia" w:eastAsiaTheme="majorEastAsia"/>
                <w:b/>
                <w:bCs/>
              </w:rPr>
            </w:pPr>
            <w:r>
              <w:rPr>
                <w:rFonts w:hint="eastAsia" w:asciiTheme="majorEastAsia" w:hAnsiTheme="majorEastAsia" w:eastAsiaTheme="majorEastAsia"/>
                <w:b/>
                <w:bCs/>
              </w:rPr>
              <w:t>年份</w:t>
            </w:r>
          </w:p>
        </w:tc>
        <w:tc>
          <w:tcPr>
            <w:tcW w:w="2055" w:type="dxa"/>
            <w:shd w:val="clear" w:color="auto" w:fill="5B9BD5" w:themeFill="accent1"/>
            <w:vAlign w:val="center"/>
          </w:tcPr>
          <w:p>
            <w:pPr>
              <w:widowControl/>
              <w:jc w:val="center"/>
              <w:rPr>
                <w:rFonts w:cs="Arial" w:asciiTheme="majorEastAsia" w:hAnsiTheme="majorEastAsia" w:eastAsiaTheme="majorEastAsia"/>
                <w:b/>
                <w:bCs/>
                <w:spacing w:val="-2"/>
                <w:position w:val="-2"/>
              </w:rPr>
            </w:pPr>
            <w:r>
              <w:rPr>
                <w:rFonts w:hint="eastAsia" w:cs="Arial" w:asciiTheme="majorEastAsia" w:hAnsiTheme="majorEastAsia" w:eastAsiaTheme="majorEastAsia"/>
                <w:b/>
                <w:bCs/>
                <w:spacing w:val="-2"/>
                <w:position w:val="-2"/>
              </w:rPr>
              <w:t>专业大类</w:t>
            </w:r>
          </w:p>
        </w:tc>
        <w:tc>
          <w:tcPr>
            <w:tcW w:w="76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序号</w:t>
            </w:r>
          </w:p>
        </w:tc>
        <w:tc>
          <w:tcPr>
            <w:tcW w:w="192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kern w:val="0"/>
                <w:position w:val="-2"/>
              </w:rPr>
              <w:t>校内实训基地名称</w:t>
            </w:r>
          </w:p>
        </w:tc>
        <w:tc>
          <w:tcPr>
            <w:tcW w:w="1409"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kern w:val="0"/>
                <w:position w:val="-2"/>
              </w:rPr>
              <w:t>实训室（个）</w:t>
            </w:r>
          </w:p>
        </w:tc>
        <w:tc>
          <w:tcPr>
            <w:tcW w:w="1775" w:type="dxa"/>
            <w:shd w:val="clear" w:color="auto" w:fill="5B9BD5" w:themeFill="accent1"/>
            <w:vAlign w:val="center"/>
          </w:tcPr>
          <w:p>
            <w:pPr>
              <w:widowControl/>
              <w:jc w:val="center"/>
              <w:rPr>
                <w:rFonts w:hint="eastAsia" w:ascii="宋体" w:hAnsi="宋体" w:eastAsia="宋体" w:cs="宋体"/>
                <w:spacing w:val="-2"/>
                <w:position w:val="-2"/>
                <w:sz w:val="21"/>
                <w:szCs w:val="21"/>
              </w:rPr>
            </w:pPr>
            <w:r>
              <w:rPr>
                <w:rFonts w:hint="eastAsia" w:ascii="宋体" w:hAnsi="宋体" w:eastAsia="宋体" w:cs="宋体"/>
                <w:spacing w:val="-2"/>
                <w:position w:val="-2"/>
                <w:sz w:val="21"/>
                <w:szCs w:val="21"/>
              </w:rPr>
              <w:t>提供</w:t>
            </w:r>
            <w:r>
              <w:rPr>
                <w:rFonts w:hint="eastAsia" w:ascii="宋体" w:hAnsi="宋体" w:eastAsia="宋体" w:cs="宋体"/>
                <w:spacing w:val="-2"/>
                <w:kern w:val="0"/>
                <w:position w:val="-2"/>
                <w:sz w:val="21"/>
                <w:szCs w:val="21"/>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restart"/>
            <w:tcBorders>
              <w:top w:val="single" w:color="auto" w:sz="4" w:space="0"/>
            </w:tcBorders>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sz w:val="24"/>
                <w:szCs w:val="24"/>
              </w:rPr>
              <w:t>2</w:t>
            </w:r>
            <w:r>
              <w:rPr>
                <w:rFonts w:cs="Arial" w:asciiTheme="majorEastAsia" w:hAnsiTheme="majorEastAsia" w:eastAsiaTheme="majorEastAsia"/>
                <w:b/>
                <w:bCs/>
                <w:spacing w:val="-2"/>
                <w:position w:val="-2"/>
                <w:sz w:val="24"/>
                <w:szCs w:val="24"/>
              </w:rPr>
              <w:t>0</w:t>
            </w:r>
            <w:r>
              <w:rPr>
                <w:rFonts w:hint="eastAsia" w:cs="Arial" w:asciiTheme="majorEastAsia" w:hAnsiTheme="majorEastAsia" w:eastAsiaTheme="majorEastAsia"/>
                <w:b/>
                <w:bCs/>
                <w:spacing w:val="-2"/>
                <w:position w:val="-2"/>
                <w:sz w:val="24"/>
                <w:szCs w:val="24"/>
                <w:lang w:val="en-US" w:eastAsia="zh-CN"/>
              </w:rPr>
              <w:t>20</w:t>
            </w:r>
          </w:p>
        </w:tc>
        <w:tc>
          <w:tcPr>
            <w:tcW w:w="2055" w:type="dxa"/>
            <w:vMerge w:val="restart"/>
            <w:vAlign w:val="center"/>
          </w:tcPr>
          <w:p>
            <w:pPr>
              <w:widowControl/>
              <w:jc w:val="center"/>
              <w:rPr>
                <w:rFonts w:cs="Arial" w:asciiTheme="majorEastAsia" w:hAnsiTheme="majorEastAsia" w:eastAsiaTheme="majorEastAsia"/>
                <w:b/>
                <w:bCs/>
                <w:spacing w:val="-2"/>
                <w:position w:val="-2"/>
              </w:rPr>
            </w:pPr>
            <w:r>
              <w:rPr>
                <w:rFonts w:hint="eastAsia" w:cs="Arial" w:asciiTheme="majorEastAsia" w:hAnsiTheme="majorEastAsia" w:eastAsiaTheme="majorEastAsia"/>
                <w:b/>
                <w:bCs/>
                <w:spacing w:val="-2"/>
                <w:position w:val="-2"/>
                <w:lang w:eastAsia="zh-CN"/>
              </w:rPr>
              <w:t>装备</w:t>
            </w:r>
            <w:r>
              <w:rPr>
                <w:rFonts w:cs="Arial" w:asciiTheme="majorEastAsia" w:hAnsiTheme="majorEastAsia" w:eastAsiaTheme="majorEastAsia"/>
                <w:b/>
                <w:bCs/>
                <w:spacing w:val="-2"/>
                <w:position w:val="-2"/>
              </w:rPr>
              <w:t>制造</w:t>
            </w: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1</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汽车修理</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2</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电梯维护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3</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电焊加工</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4</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机械加工制造</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9</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eastAsia"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旅游</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5</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中餐烹饪</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10</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6</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客房服务</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3</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7</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茶艺</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8</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酒吧</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教育与体育</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9</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运动综合训练</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3</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eastAsia" w:cs="Arial" w:asciiTheme="majorEastAsia" w:hAnsiTheme="majorEastAsia" w:eastAsiaTheme="majorEastAsia"/>
                <w:b/>
                <w:bCs/>
                <w:spacing w:val="-2"/>
                <w:position w:val="-2"/>
                <w:lang w:eastAsia="zh-CN"/>
              </w:rPr>
            </w:pPr>
            <w:r>
              <w:rPr>
                <w:rFonts w:hint="eastAsia" w:cs="Arial" w:asciiTheme="majorEastAsia" w:hAnsiTheme="majorEastAsia" w:eastAsiaTheme="majorEastAsia"/>
                <w:b/>
                <w:bCs/>
                <w:spacing w:val="-2"/>
                <w:position w:val="-2"/>
              </w:rPr>
              <w:t>教育</w:t>
            </w:r>
            <w:r>
              <w:rPr>
                <w:rFonts w:hint="eastAsia" w:cs="Arial" w:asciiTheme="majorEastAsia" w:hAnsiTheme="majorEastAsia" w:eastAsiaTheme="majorEastAsia"/>
                <w:b/>
                <w:bCs/>
                <w:spacing w:val="-2"/>
                <w:position w:val="-2"/>
                <w:lang w:eastAsia="zh-CN"/>
              </w:rPr>
              <w:t>与体育</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0</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舞蹈室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1</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电子钢琴室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bottom w:val="single" w:color="auto" w:sz="4" w:space="0"/>
            </w:tcBorders>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2</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声乐室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13</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钢琴房</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24</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14</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幼儿园模拟教室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15</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教法训练录播室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top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16</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多功能厅</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cs="Arial" w:asciiTheme="majorEastAsia" w:hAnsiTheme="majorEastAsia" w:eastAsiaTheme="majorEastAsia"/>
                <w:b/>
                <w:bCs/>
                <w:spacing w:val="-2"/>
                <w:position w:val="-2"/>
              </w:rPr>
            </w:pPr>
          </w:p>
        </w:tc>
        <w:tc>
          <w:tcPr>
            <w:tcW w:w="765" w:type="dxa"/>
            <w:tcBorders>
              <w:top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17</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幼儿照护实训室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4"/>
                <w:szCs w:val="24"/>
                <w:lang w:val="en-US" w:eastAsia="zh-CN" w:bidi="ar-SA"/>
              </w:rPr>
            </w:pPr>
            <w:r>
              <w:rPr>
                <w:rFonts w:hint="eastAsia" w:ascii="宋体" w:hAnsi="宋体" w:cs="Times New Roman"/>
                <w:spacing w:val="-2"/>
                <w:kern w:val="2"/>
                <w:position w:val="-2"/>
                <w:sz w:val="24"/>
                <w:szCs w:val="24"/>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电子与信息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18</w:t>
            </w:r>
          </w:p>
        </w:tc>
        <w:tc>
          <w:tcPr>
            <w:tcW w:w="1920"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会计电算化模拟室</w:t>
            </w:r>
          </w:p>
        </w:tc>
        <w:tc>
          <w:tcPr>
            <w:tcW w:w="1409" w:type="dxa"/>
            <w:vAlign w:val="center"/>
          </w:tcPr>
          <w:p>
            <w:pPr>
              <w:widowControl/>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1</w:t>
            </w:r>
          </w:p>
        </w:tc>
        <w:tc>
          <w:tcPr>
            <w:tcW w:w="1775" w:type="dxa"/>
            <w:vAlign w:val="center"/>
          </w:tcPr>
          <w:p>
            <w:pPr>
              <w:widowControl/>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lang w:val="en-US" w:eastAsia="zh-CN"/>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19</w:t>
            </w:r>
          </w:p>
        </w:tc>
        <w:tc>
          <w:tcPr>
            <w:tcW w:w="1920" w:type="dxa"/>
            <w:vAlign w:val="center"/>
          </w:tcPr>
          <w:p>
            <w:pPr>
              <w:widowControl/>
              <w:jc w:val="center"/>
              <w:rPr>
                <w:rFonts w:hint="eastAsia" w:ascii="宋体" w:hAnsi="宋体" w:eastAsia="宋体"/>
                <w:spacing w:val="-2"/>
                <w:position w:val="-2"/>
                <w:sz w:val="21"/>
                <w:lang w:eastAsia="zh-CN"/>
              </w:rPr>
            </w:pPr>
            <w:r>
              <w:rPr>
                <w:rFonts w:hint="eastAsia" w:ascii="宋体" w:hAnsi="宋体"/>
                <w:spacing w:val="-2"/>
                <w:position w:val="-2"/>
                <w:sz w:val="21"/>
                <w:lang w:eastAsia="zh-CN"/>
              </w:rPr>
              <w:t>计算机房</w:t>
            </w:r>
          </w:p>
        </w:tc>
        <w:tc>
          <w:tcPr>
            <w:tcW w:w="1409" w:type="dxa"/>
            <w:vAlign w:val="center"/>
          </w:tcPr>
          <w:p>
            <w:pPr>
              <w:widowControl/>
              <w:jc w:val="center"/>
              <w:rPr>
                <w:rFonts w:hint="default" w:ascii="宋体" w:hAnsi="宋体" w:eastAsia="宋体"/>
                <w:spacing w:val="-2"/>
                <w:position w:val="-2"/>
                <w:sz w:val="24"/>
                <w:szCs w:val="24"/>
                <w:lang w:val="en-US" w:eastAsia="zh-CN"/>
              </w:rPr>
            </w:pPr>
            <w:r>
              <w:rPr>
                <w:rFonts w:hint="eastAsia" w:ascii="宋体" w:hAnsi="宋体"/>
                <w:spacing w:val="-2"/>
                <w:position w:val="-2"/>
                <w:sz w:val="24"/>
                <w:szCs w:val="24"/>
                <w:lang w:val="en-US" w:eastAsia="zh-CN"/>
              </w:rPr>
              <w:t>10</w:t>
            </w:r>
          </w:p>
        </w:tc>
        <w:tc>
          <w:tcPr>
            <w:tcW w:w="1775" w:type="dxa"/>
            <w:vAlign w:val="center"/>
          </w:tcPr>
          <w:p>
            <w:pPr>
              <w:widowControl/>
              <w:jc w:val="center"/>
              <w:rPr>
                <w:rFonts w:hint="eastAsia" w:ascii="宋体" w:hAnsi="宋体" w:eastAsia="宋体" w:cs="宋体"/>
                <w:spacing w:val="-2"/>
                <w:position w:val="-2"/>
                <w:sz w:val="21"/>
                <w:szCs w:val="21"/>
                <w:lang w:val="en-US" w:eastAsia="zh-CN"/>
              </w:rPr>
            </w:pPr>
            <w:r>
              <w:rPr>
                <w:rFonts w:hint="eastAsia" w:ascii="宋体" w:hAnsi="宋体" w:eastAsia="宋体" w:cs="宋体"/>
                <w:spacing w:val="-2"/>
                <w:position w:val="-2"/>
                <w:sz w:val="21"/>
                <w:szCs w:val="21"/>
                <w:lang w:val="en-US" w:eastAsia="zh-CN"/>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lang w:val="en-US" w:eastAsia="zh-CN"/>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20</w:t>
            </w:r>
          </w:p>
        </w:tc>
        <w:tc>
          <w:tcPr>
            <w:tcW w:w="1920" w:type="dxa"/>
            <w:vAlign w:val="center"/>
          </w:tcPr>
          <w:p>
            <w:pPr>
              <w:widowControl/>
              <w:jc w:val="center"/>
              <w:rPr>
                <w:rFonts w:hint="eastAsia" w:ascii="宋体" w:hAnsi="宋体"/>
                <w:spacing w:val="-2"/>
                <w:position w:val="-2"/>
                <w:sz w:val="21"/>
                <w:lang w:eastAsia="zh-CN"/>
              </w:rPr>
            </w:pPr>
            <w:r>
              <w:rPr>
                <w:rFonts w:hint="eastAsia" w:ascii="宋体" w:hAnsi="宋体"/>
                <w:spacing w:val="-2"/>
                <w:position w:val="-2"/>
                <w:sz w:val="21"/>
                <w:lang w:eastAsia="zh-CN"/>
              </w:rPr>
              <w:t>会计电算化模拟室</w:t>
            </w:r>
          </w:p>
        </w:tc>
        <w:tc>
          <w:tcPr>
            <w:tcW w:w="1409" w:type="dxa"/>
            <w:vAlign w:val="center"/>
          </w:tcPr>
          <w:p>
            <w:pPr>
              <w:widowControl/>
              <w:jc w:val="center"/>
              <w:rPr>
                <w:rFonts w:hint="eastAsia" w:ascii="宋体" w:hAnsi="宋体" w:eastAsia="宋体"/>
                <w:spacing w:val="-2"/>
                <w:position w:val="-2"/>
                <w:sz w:val="24"/>
                <w:szCs w:val="24"/>
                <w:lang w:val="en-US" w:eastAsia="zh-CN"/>
              </w:rPr>
            </w:pPr>
            <w:r>
              <w:rPr>
                <w:rFonts w:hint="eastAsia" w:ascii="宋体" w:hAnsi="宋体"/>
                <w:spacing w:val="-2"/>
                <w:position w:val="-2"/>
                <w:sz w:val="24"/>
                <w:szCs w:val="24"/>
                <w:lang w:val="en-US" w:eastAsia="zh-CN"/>
              </w:rPr>
              <w:t>1</w:t>
            </w:r>
          </w:p>
        </w:tc>
        <w:tc>
          <w:tcPr>
            <w:tcW w:w="1775" w:type="dxa"/>
            <w:vAlign w:val="center"/>
          </w:tcPr>
          <w:p>
            <w:pPr>
              <w:widowControl/>
              <w:jc w:val="center"/>
              <w:rPr>
                <w:rFonts w:hint="eastAsia" w:ascii="宋体" w:hAnsi="宋体" w:eastAsia="宋体" w:cs="宋体"/>
                <w:spacing w:val="-2"/>
                <w:position w:val="-2"/>
                <w:sz w:val="21"/>
                <w:szCs w:val="21"/>
                <w:lang w:val="en-US" w:eastAsia="zh-CN"/>
              </w:rPr>
            </w:pPr>
            <w:r>
              <w:rPr>
                <w:rFonts w:hint="eastAsia" w:ascii="宋体" w:hAnsi="宋体" w:eastAsia="宋体" w:cs="宋体"/>
                <w:spacing w:val="-2"/>
                <w:position w:val="-2"/>
                <w:sz w:val="21"/>
                <w:szCs w:val="21"/>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cs="Arial" w:asciiTheme="majorEastAsia" w:hAnsiTheme="majorEastAsia" w:eastAsiaTheme="majorEastAsia"/>
                <w:b/>
                <w:bCs/>
                <w:spacing w:val="-2"/>
                <w:position w:val="-2"/>
              </w:rPr>
            </w:pPr>
            <w:r>
              <w:rPr>
                <w:rFonts w:hint="eastAsia" w:cs="Arial" w:asciiTheme="majorEastAsia" w:hAnsiTheme="majorEastAsia" w:eastAsiaTheme="majorEastAsia"/>
                <w:b/>
                <w:bCs/>
                <w:spacing w:val="-2"/>
                <w:position w:val="-2"/>
                <w:lang w:val="en-US" w:eastAsia="zh-CN"/>
              </w:rPr>
              <w:t>文化艺</w:t>
            </w:r>
            <w:r>
              <w:rPr>
                <w:rFonts w:hint="eastAsia" w:cs="Arial" w:asciiTheme="majorEastAsia" w:hAnsiTheme="majorEastAsia" w:eastAsiaTheme="majorEastAsia"/>
                <w:b/>
                <w:bCs/>
                <w:spacing w:val="-2"/>
                <w:position w:val="-2"/>
              </w:rPr>
              <w:t>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21</w:t>
            </w:r>
          </w:p>
        </w:tc>
        <w:tc>
          <w:tcPr>
            <w:tcW w:w="1920"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艺术设计与制作</w:t>
            </w:r>
          </w:p>
        </w:tc>
        <w:tc>
          <w:tcPr>
            <w:tcW w:w="1409" w:type="dxa"/>
            <w:vAlign w:val="center"/>
          </w:tcPr>
          <w:p>
            <w:pPr>
              <w:widowControl/>
              <w:jc w:val="center"/>
              <w:rPr>
                <w:rFonts w:hint="eastAsia" w:ascii="宋体" w:hAnsi="宋体" w:eastAsia="宋体" w:cs="Times New Roman"/>
                <w:spacing w:val="-2"/>
                <w:kern w:val="2"/>
                <w:position w:val="-2"/>
                <w:sz w:val="24"/>
                <w:szCs w:val="24"/>
                <w:lang w:val="en-US" w:eastAsia="zh-CN" w:bidi="ar-SA"/>
              </w:rPr>
            </w:pPr>
            <w:r>
              <w:rPr>
                <w:rFonts w:hint="eastAsia" w:ascii="宋体" w:hAnsi="宋体"/>
                <w:spacing w:val="-2"/>
                <w:position w:val="-2"/>
                <w:sz w:val="24"/>
                <w:szCs w:val="24"/>
              </w:rPr>
              <w:t>8</w:t>
            </w:r>
          </w:p>
        </w:tc>
        <w:tc>
          <w:tcPr>
            <w:tcW w:w="1775" w:type="dxa"/>
            <w:vAlign w:val="center"/>
          </w:tcPr>
          <w:p>
            <w:pPr>
              <w:widowControl/>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position w:val="-2"/>
                <w:sz w:val="21"/>
                <w:szCs w:val="21"/>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tcBorders>
              <w:bottom w:val="single" w:color="auto" w:sz="4" w:space="0"/>
            </w:tcBorders>
            <w:vAlign w:val="center"/>
          </w:tcPr>
          <w:p>
            <w:pPr>
              <w:widowControl/>
              <w:jc w:val="center"/>
              <w:rPr>
                <w:rFonts w:cs="Arial" w:asciiTheme="majorEastAsia" w:hAnsiTheme="majorEastAsia" w:eastAsiaTheme="majorEastAsia"/>
                <w:b/>
                <w:bCs/>
                <w:spacing w:val="-2"/>
                <w:position w:val="-2"/>
              </w:rPr>
            </w:pPr>
          </w:p>
        </w:tc>
        <w:tc>
          <w:tcPr>
            <w:tcW w:w="4740" w:type="dxa"/>
            <w:gridSpan w:val="3"/>
            <w:vAlign w:val="center"/>
          </w:tcPr>
          <w:p>
            <w:pPr>
              <w:widowControl/>
              <w:jc w:val="center"/>
              <w:rPr>
                <w:rFonts w:hint="eastAsia" w:ascii="宋体" w:hAnsi="宋体" w:eastAsia="宋体"/>
                <w:b/>
                <w:bCs/>
                <w:spacing w:val="-2"/>
                <w:position w:val="-2"/>
                <w:sz w:val="21"/>
                <w:lang w:eastAsia="zh-CN"/>
              </w:rPr>
            </w:pPr>
            <w:r>
              <w:rPr>
                <w:rFonts w:hint="eastAsia" w:ascii="宋体" w:hAnsi="宋体"/>
                <w:b/>
                <w:bCs/>
                <w:spacing w:val="-2"/>
                <w:position w:val="-2"/>
                <w:sz w:val="21"/>
                <w:lang w:eastAsia="zh-CN"/>
              </w:rPr>
              <w:t>小计</w:t>
            </w:r>
          </w:p>
        </w:tc>
        <w:tc>
          <w:tcPr>
            <w:tcW w:w="1409" w:type="dxa"/>
            <w:vAlign w:val="center"/>
          </w:tcPr>
          <w:p>
            <w:pPr>
              <w:widowControl/>
              <w:jc w:val="center"/>
              <w:rPr>
                <w:rFonts w:hint="default" w:ascii="宋体" w:hAnsi="宋体" w:eastAsia="宋体"/>
                <w:b/>
                <w:bCs/>
                <w:spacing w:val="-2"/>
                <w:position w:val="-2"/>
                <w:sz w:val="24"/>
                <w:szCs w:val="24"/>
                <w:lang w:val="en-US" w:eastAsia="zh-CN"/>
              </w:rPr>
            </w:pPr>
            <w:r>
              <w:rPr>
                <w:rFonts w:hint="eastAsia" w:ascii="宋体" w:hAnsi="宋体"/>
                <w:b/>
                <w:bCs/>
                <w:spacing w:val="-2"/>
                <w:position w:val="-2"/>
                <w:sz w:val="24"/>
                <w:szCs w:val="24"/>
                <w:lang w:val="en-US" w:eastAsia="zh-CN"/>
              </w:rPr>
              <w:t>86</w:t>
            </w:r>
          </w:p>
        </w:tc>
        <w:tc>
          <w:tcPr>
            <w:tcW w:w="1775" w:type="dxa"/>
            <w:vAlign w:val="center"/>
          </w:tcPr>
          <w:p>
            <w:pPr>
              <w:widowControl/>
              <w:jc w:val="center"/>
              <w:rPr>
                <w:rFonts w:hint="eastAsia" w:ascii="宋体" w:hAnsi="宋体" w:eastAsia="宋体" w:cs="宋体"/>
                <w:b/>
                <w:bCs/>
                <w:spacing w:val="-2"/>
                <w:position w:val="-2"/>
                <w:sz w:val="21"/>
                <w:szCs w:val="21"/>
                <w:lang w:val="en-US" w:eastAsia="zh-CN"/>
              </w:rPr>
            </w:pPr>
            <w:r>
              <w:rPr>
                <w:rFonts w:hint="eastAsia" w:ascii="宋体" w:hAnsi="宋体" w:eastAsia="宋体" w:cs="宋体"/>
                <w:b/>
                <w:bCs/>
                <w:spacing w:val="-2"/>
                <w:position w:val="-2"/>
                <w:sz w:val="21"/>
                <w:szCs w:val="21"/>
                <w:lang w:val="en-US" w:eastAsia="zh-CN"/>
              </w:rPr>
              <w:t>1980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restart"/>
            <w:tcBorders>
              <w:top w:val="single" w:color="auto" w:sz="4" w:space="0"/>
            </w:tcBorders>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sz w:val="24"/>
                <w:szCs w:val="24"/>
                <w:lang w:val="en-US" w:eastAsia="zh-CN"/>
              </w:rPr>
              <w:t>2021</w:t>
            </w:r>
          </w:p>
        </w:tc>
        <w:tc>
          <w:tcPr>
            <w:tcW w:w="2055" w:type="dxa"/>
            <w:vMerge w:val="restart"/>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装备制造</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汽车美容与养护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电梯维护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3</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电焊加工</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4</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机械加工制造</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9</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旅游</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5</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中餐烹饪</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10</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6</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客房服务</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3</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7</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茶艺</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8</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酒吧</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教育与体育</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9</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运动综合训练</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3</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eastAsia"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教育</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10</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舞蹈室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11</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电子钢琴室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bottom w:val="single" w:color="auto" w:sz="4" w:space="0"/>
            </w:tcBorders>
            <w:vAlign w:val="center"/>
          </w:tcPr>
          <w:p>
            <w:pPr>
              <w:widowControl/>
              <w:ind w:firstLine="412" w:firstLineChars="200"/>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12</w:t>
            </w:r>
          </w:p>
          <w:p>
            <w:pPr>
              <w:widowControl/>
              <w:ind w:firstLine="412" w:firstLineChars="200"/>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12</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声乐室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13</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钢琴房</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24</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14</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幼儿园模拟教室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15</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教法训练录播室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16</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多功能厅</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17</w:t>
            </w:r>
          </w:p>
        </w:tc>
        <w:tc>
          <w:tcPr>
            <w:tcW w:w="1920" w:type="dxa"/>
            <w:vAlign w:val="center"/>
          </w:tcPr>
          <w:p>
            <w:pPr>
              <w:widowControl/>
              <w:spacing w:beforeLines="0" w:afterLines="0"/>
              <w:jc w:val="center"/>
              <w:rPr>
                <w:rFonts w:hint="default"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幼儿照护实训室</w:t>
            </w:r>
          </w:p>
        </w:tc>
        <w:tc>
          <w:tcPr>
            <w:tcW w:w="1409" w:type="dxa"/>
            <w:vAlign w:val="center"/>
          </w:tcPr>
          <w:p>
            <w:pPr>
              <w:widowControl/>
              <w:spacing w:beforeLines="0" w:afterLines="0"/>
              <w:jc w:val="center"/>
              <w:rPr>
                <w:rFonts w:hint="default"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财经商贸</w:t>
            </w:r>
          </w:p>
        </w:tc>
        <w:tc>
          <w:tcPr>
            <w:tcW w:w="765" w:type="dxa"/>
            <w:tcBorders>
              <w:top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18</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会计电算化模拟室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restart"/>
            <w:vAlign w:val="center"/>
          </w:tcPr>
          <w:p>
            <w:pPr>
              <w:widowControl/>
              <w:jc w:val="center"/>
              <w:rPr>
                <w:rFonts w:hint="default"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电子与信息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19</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网络综合布线实训室</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lang w:val="en-US" w:eastAsia="zh-CN"/>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20</w:t>
            </w:r>
          </w:p>
        </w:tc>
        <w:tc>
          <w:tcPr>
            <w:tcW w:w="1920"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计算机机房</w:t>
            </w:r>
          </w:p>
        </w:tc>
        <w:tc>
          <w:tcPr>
            <w:tcW w:w="1409" w:type="dxa"/>
            <w:vAlign w:val="center"/>
          </w:tcPr>
          <w:p>
            <w:pPr>
              <w:widowControl/>
              <w:spacing w:beforeLines="0" w:afterLines="0"/>
              <w:jc w:val="center"/>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11</w:t>
            </w:r>
          </w:p>
        </w:tc>
        <w:tc>
          <w:tcPr>
            <w:tcW w:w="1775" w:type="dxa"/>
            <w:vAlign w:val="center"/>
          </w:tcPr>
          <w:p>
            <w:pPr>
              <w:widowControl/>
              <w:spacing w:beforeLines="0" w:afterLines="0"/>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Merge w:val="continue"/>
            <w:vAlign w:val="center"/>
          </w:tcPr>
          <w:p>
            <w:pPr>
              <w:widowControl/>
              <w:jc w:val="center"/>
              <w:rPr>
                <w:rFonts w:hint="eastAsia" w:cs="Arial" w:asciiTheme="majorEastAsia" w:hAnsiTheme="majorEastAsia" w:eastAsiaTheme="majorEastAsia"/>
                <w:b/>
                <w:bCs/>
                <w:spacing w:val="-2"/>
                <w:position w:val="-2"/>
                <w:lang w:val="en-US" w:eastAsia="zh-CN"/>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21</w:t>
            </w:r>
          </w:p>
        </w:tc>
        <w:tc>
          <w:tcPr>
            <w:tcW w:w="1920" w:type="dxa"/>
            <w:vAlign w:val="center"/>
          </w:tcPr>
          <w:p>
            <w:pPr>
              <w:widowControl/>
              <w:jc w:val="center"/>
              <w:rPr>
                <w:rFonts w:hint="default"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智能家居实训室</w:t>
            </w:r>
          </w:p>
        </w:tc>
        <w:tc>
          <w:tcPr>
            <w:tcW w:w="1409" w:type="dxa"/>
            <w:vAlign w:val="center"/>
          </w:tcPr>
          <w:p>
            <w:pPr>
              <w:widowControl/>
              <w:jc w:val="center"/>
              <w:rPr>
                <w:rFonts w:hint="default" w:ascii="宋体" w:hAnsi="宋体" w:eastAsia="宋体" w:cs="Times New Roman"/>
                <w:spacing w:val="-2"/>
                <w:kern w:val="2"/>
                <w:position w:val="-2"/>
                <w:sz w:val="24"/>
                <w:szCs w:val="24"/>
                <w:lang w:val="en-US" w:eastAsia="zh-CN" w:bidi="ar-SA"/>
              </w:rPr>
            </w:pPr>
            <w:r>
              <w:rPr>
                <w:rFonts w:hint="eastAsia" w:ascii="宋体" w:hAnsi="宋体" w:cs="Times New Roman"/>
                <w:spacing w:val="-2"/>
                <w:kern w:val="2"/>
                <w:position w:val="-2"/>
                <w:sz w:val="24"/>
                <w:szCs w:val="24"/>
                <w:lang w:val="en-US" w:eastAsia="zh-CN" w:bidi="ar-SA"/>
              </w:rPr>
              <w:t>4</w:t>
            </w:r>
          </w:p>
        </w:tc>
        <w:tc>
          <w:tcPr>
            <w:tcW w:w="1775" w:type="dxa"/>
            <w:vAlign w:val="center"/>
          </w:tcPr>
          <w:p>
            <w:pPr>
              <w:widowControl/>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hint="eastAsia"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lang w:val="en-US" w:eastAsia="zh-CN"/>
              </w:rPr>
              <w:t>文化艺术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22</w:t>
            </w:r>
          </w:p>
        </w:tc>
        <w:tc>
          <w:tcPr>
            <w:tcW w:w="1920"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艺术设计与制作</w:t>
            </w:r>
          </w:p>
        </w:tc>
        <w:tc>
          <w:tcPr>
            <w:tcW w:w="1409" w:type="dxa"/>
            <w:vAlign w:val="center"/>
          </w:tcPr>
          <w:p>
            <w:pPr>
              <w:widowControl/>
              <w:jc w:val="center"/>
              <w:rPr>
                <w:rFonts w:hint="default" w:ascii="宋体" w:hAnsi="宋体" w:eastAsia="宋体" w:cs="Times New Roman"/>
                <w:spacing w:val="-2"/>
                <w:kern w:val="2"/>
                <w:position w:val="-2"/>
                <w:sz w:val="24"/>
                <w:szCs w:val="24"/>
                <w:lang w:val="en-US" w:eastAsia="zh-CN" w:bidi="ar-SA"/>
              </w:rPr>
            </w:pPr>
            <w:r>
              <w:rPr>
                <w:rFonts w:hint="eastAsia" w:ascii="宋体" w:hAnsi="宋体" w:cs="Times New Roman"/>
                <w:spacing w:val="-2"/>
                <w:kern w:val="2"/>
                <w:position w:val="-2"/>
                <w:sz w:val="24"/>
                <w:szCs w:val="24"/>
                <w:lang w:val="en-US" w:eastAsia="zh-CN" w:bidi="ar-SA"/>
              </w:rPr>
              <w:t>8</w:t>
            </w:r>
          </w:p>
        </w:tc>
        <w:tc>
          <w:tcPr>
            <w:tcW w:w="1775" w:type="dxa"/>
            <w:vAlign w:val="center"/>
          </w:tcPr>
          <w:p>
            <w:pPr>
              <w:widowControl/>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2055" w:type="dxa"/>
            <w:vAlign w:val="center"/>
          </w:tcPr>
          <w:p>
            <w:pPr>
              <w:widowControl/>
              <w:jc w:val="center"/>
              <w:rPr>
                <w:rFonts w:hint="eastAsia" w:cs="Arial" w:asciiTheme="majorEastAsia" w:hAnsiTheme="majorEastAsia" w:eastAsiaTheme="majorEastAsia"/>
                <w:b/>
                <w:bCs/>
                <w:spacing w:val="-2"/>
                <w:position w:val="-2"/>
                <w:lang w:val="en-US" w:eastAsia="zh-CN"/>
              </w:rPr>
            </w:pPr>
            <w:r>
              <w:rPr>
                <w:rFonts w:hint="eastAsia" w:cs="Arial" w:asciiTheme="majorEastAsia" w:hAnsiTheme="majorEastAsia" w:eastAsiaTheme="majorEastAsia"/>
                <w:b/>
                <w:bCs/>
                <w:spacing w:val="-2"/>
                <w:position w:val="-2"/>
                <w:sz w:val="20"/>
                <w:szCs w:val="20"/>
                <w:lang w:val="en-US" w:eastAsia="zh-CN"/>
              </w:rPr>
              <w:t>船舶与海洋工程装备</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23</w:t>
            </w:r>
          </w:p>
        </w:tc>
        <w:tc>
          <w:tcPr>
            <w:tcW w:w="1920" w:type="dxa"/>
            <w:vAlign w:val="center"/>
          </w:tcPr>
          <w:p>
            <w:pPr>
              <w:widowControl/>
              <w:jc w:val="both"/>
              <w:rPr>
                <w:rFonts w:hint="eastAsia" w:ascii="宋体" w:hAnsi="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无人机操控与维护</w:t>
            </w:r>
          </w:p>
        </w:tc>
        <w:tc>
          <w:tcPr>
            <w:tcW w:w="1409" w:type="dxa"/>
            <w:vAlign w:val="center"/>
          </w:tcPr>
          <w:p>
            <w:pPr>
              <w:widowControl/>
              <w:jc w:val="center"/>
              <w:rPr>
                <w:rFonts w:hint="default" w:ascii="宋体" w:hAnsi="宋体" w:cs="Times New Roman"/>
                <w:spacing w:val="-2"/>
                <w:kern w:val="2"/>
                <w:position w:val="-2"/>
                <w:sz w:val="24"/>
                <w:szCs w:val="24"/>
                <w:lang w:val="en-US" w:eastAsia="zh-CN" w:bidi="ar-SA"/>
              </w:rPr>
            </w:pPr>
            <w:r>
              <w:rPr>
                <w:rFonts w:hint="eastAsia" w:ascii="宋体" w:hAnsi="宋体" w:cs="Times New Roman"/>
                <w:spacing w:val="-2"/>
                <w:kern w:val="2"/>
                <w:position w:val="-2"/>
                <w:sz w:val="24"/>
                <w:szCs w:val="24"/>
                <w:lang w:val="en-US" w:eastAsia="zh-CN" w:bidi="ar-SA"/>
              </w:rPr>
              <w:t>2</w:t>
            </w:r>
          </w:p>
        </w:tc>
        <w:tc>
          <w:tcPr>
            <w:tcW w:w="1775" w:type="dxa"/>
            <w:vAlign w:val="center"/>
          </w:tcPr>
          <w:p>
            <w:pPr>
              <w:widowControl/>
              <w:jc w:val="center"/>
              <w:rPr>
                <w:rFonts w:hint="eastAsia" w:ascii="宋体" w:hAnsi="宋体" w:eastAsia="宋体" w:cs="宋体"/>
                <w:spacing w:val="-2"/>
                <w:kern w:val="2"/>
                <w:position w:val="-2"/>
                <w:sz w:val="21"/>
                <w:szCs w:val="21"/>
                <w:lang w:val="en-US" w:eastAsia="zh-CN" w:bidi="ar-SA"/>
              </w:rPr>
            </w:pPr>
            <w:r>
              <w:rPr>
                <w:rFonts w:hint="eastAsia" w:ascii="宋体" w:hAnsi="宋体" w:eastAsia="宋体" w:cs="宋体"/>
                <w:spacing w:val="-2"/>
                <w:kern w:val="2"/>
                <w:position w:val="-2"/>
                <w:sz w:val="21"/>
                <w:szCs w:val="21"/>
                <w:lang w:val="en-US" w:eastAsia="zh-CN" w:bidi="ar-S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exact"/>
          <w:jc w:val="center"/>
        </w:trPr>
        <w:tc>
          <w:tcPr>
            <w:tcW w:w="722" w:type="dxa"/>
            <w:vMerge w:val="continue"/>
            <w:vAlign w:val="center"/>
          </w:tcPr>
          <w:p>
            <w:pPr>
              <w:widowControl/>
              <w:jc w:val="center"/>
              <w:rPr>
                <w:rFonts w:cs="Arial" w:asciiTheme="majorEastAsia" w:hAnsiTheme="majorEastAsia" w:eastAsiaTheme="majorEastAsia"/>
                <w:b/>
                <w:bCs/>
                <w:spacing w:val="-2"/>
                <w:position w:val="-2"/>
              </w:rPr>
            </w:pPr>
          </w:p>
        </w:tc>
        <w:tc>
          <w:tcPr>
            <w:tcW w:w="4740" w:type="dxa"/>
            <w:gridSpan w:val="3"/>
            <w:vAlign w:val="center"/>
          </w:tcPr>
          <w:p>
            <w:pPr>
              <w:widowControl/>
              <w:jc w:val="center"/>
              <w:rPr>
                <w:rFonts w:hint="eastAsia" w:ascii="宋体" w:hAnsi="宋体" w:cs="Times New Roman"/>
                <w:b/>
                <w:bCs/>
                <w:spacing w:val="-2"/>
                <w:kern w:val="2"/>
                <w:position w:val="-2"/>
                <w:sz w:val="21"/>
                <w:szCs w:val="21"/>
                <w:lang w:val="en-US" w:eastAsia="zh-CN" w:bidi="ar-SA"/>
              </w:rPr>
            </w:pPr>
            <w:r>
              <w:rPr>
                <w:rFonts w:hint="eastAsia" w:ascii="宋体" w:hAnsi="宋体" w:cs="Times New Roman"/>
                <w:b/>
                <w:bCs/>
                <w:spacing w:val="-2"/>
                <w:kern w:val="2"/>
                <w:position w:val="-2"/>
                <w:sz w:val="21"/>
                <w:szCs w:val="21"/>
                <w:lang w:val="en-US" w:eastAsia="zh-CN" w:bidi="ar-SA"/>
              </w:rPr>
              <w:t>小计</w:t>
            </w:r>
          </w:p>
        </w:tc>
        <w:tc>
          <w:tcPr>
            <w:tcW w:w="1409" w:type="dxa"/>
            <w:vAlign w:val="center"/>
          </w:tcPr>
          <w:p>
            <w:pPr>
              <w:widowControl/>
              <w:jc w:val="center"/>
              <w:rPr>
                <w:rFonts w:hint="default" w:ascii="宋体" w:hAnsi="宋体" w:cs="Times New Roman"/>
                <w:b/>
                <w:bCs/>
                <w:spacing w:val="-2"/>
                <w:kern w:val="2"/>
                <w:position w:val="-2"/>
                <w:sz w:val="24"/>
                <w:szCs w:val="24"/>
                <w:lang w:val="en-US" w:eastAsia="zh-CN" w:bidi="ar-SA"/>
              </w:rPr>
            </w:pPr>
            <w:r>
              <w:rPr>
                <w:rFonts w:hint="eastAsia" w:ascii="宋体" w:hAnsi="宋体" w:cs="Times New Roman"/>
                <w:b/>
                <w:bCs/>
                <w:spacing w:val="-2"/>
                <w:kern w:val="2"/>
                <w:position w:val="-2"/>
                <w:sz w:val="24"/>
                <w:szCs w:val="24"/>
                <w:lang w:val="en-US" w:eastAsia="zh-CN" w:bidi="ar-SA"/>
              </w:rPr>
              <w:t>93</w:t>
            </w:r>
          </w:p>
        </w:tc>
        <w:tc>
          <w:tcPr>
            <w:tcW w:w="1775" w:type="dxa"/>
            <w:vAlign w:val="center"/>
          </w:tcPr>
          <w:p>
            <w:pPr>
              <w:widowControl/>
              <w:jc w:val="center"/>
              <w:rPr>
                <w:rFonts w:hint="eastAsia" w:ascii="宋体" w:hAnsi="宋体" w:eastAsia="宋体" w:cs="宋体"/>
                <w:b/>
                <w:bCs/>
                <w:spacing w:val="-2"/>
                <w:kern w:val="2"/>
                <w:position w:val="-2"/>
                <w:sz w:val="21"/>
                <w:szCs w:val="21"/>
                <w:lang w:val="en-US" w:eastAsia="zh-CN" w:bidi="ar-SA"/>
              </w:rPr>
            </w:pPr>
            <w:r>
              <w:rPr>
                <w:rFonts w:hint="eastAsia" w:ascii="宋体" w:hAnsi="宋体" w:eastAsia="宋体" w:cs="宋体"/>
                <w:b/>
                <w:bCs/>
                <w:spacing w:val="-2"/>
                <w:kern w:val="2"/>
                <w:position w:val="-2"/>
                <w:sz w:val="21"/>
                <w:szCs w:val="21"/>
                <w:lang w:val="en-US" w:eastAsia="zh-CN" w:bidi="ar-SA"/>
              </w:rPr>
              <w:t>2100</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w:t>
      </w:r>
      <w:r>
        <w:rPr>
          <w:rFonts w:hint="eastAsia" w:cs="Arial" w:asciiTheme="minorEastAsia" w:hAnsiTheme="minorEastAsia" w:eastAsiaTheme="minorEastAsia"/>
          <w:b/>
          <w:spacing w:val="-2"/>
          <w:position w:val="-2"/>
          <w:sz w:val="24"/>
          <w:lang w:val="en-US" w:eastAsia="zh-CN"/>
        </w:rPr>
        <w:t>2</w:t>
      </w:r>
      <w:r>
        <w:rPr>
          <w:rFonts w:hint="eastAsia" w:cs="Arial" w:asciiTheme="minorEastAsia" w:hAnsiTheme="minorEastAsia" w:eastAsiaTheme="minorEastAsia"/>
          <w:b/>
          <w:spacing w:val="-2"/>
          <w:position w:val="-2"/>
          <w:sz w:val="24"/>
        </w:rPr>
        <w:t>.3图书和期刊</w:t>
      </w:r>
    </w:p>
    <w:p>
      <w:pPr>
        <w:widowControl/>
        <w:shd w:val="clear" w:color="auto" w:fill="FFFFFF"/>
        <w:spacing w:line="440" w:lineRule="exact"/>
        <w:ind w:firstLine="480" w:firstLineChars="200"/>
        <w:rPr>
          <w:rFonts w:hint="eastAsia" w:asciiTheme="minorEastAsia" w:hAnsiTheme="minorEastAsia" w:eastAsiaTheme="minorEastAsia"/>
          <w:sz w:val="24"/>
          <w:szCs w:val="32"/>
          <w:lang w:eastAsia="zh-CN"/>
        </w:rPr>
      </w:pPr>
      <w:r>
        <w:rPr>
          <w:rFonts w:hint="eastAsia" w:asciiTheme="minorEastAsia" w:hAnsiTheme="minorEastAsia" w:eastAsiaTheme="minorEastAsia"/>
          <w:sz w:val="24"/>
          <w:szCs w:val="32"/>
        </w:rPr>
        <w:t>学校共有纸质图书</w:t>
      </w:r>
      <w:r>
        <w:rPr>
          <w:rFonts w:hint="eastAsia" w:asciiTheme="minorEastAsia" w:hAnsiTheme="minorEastAsia" w:eastAsiaTheme="minorEastAsia"/>
          <w:sz w:val="24"/>
          <w:szCs w:val="32"/>
          <w:lang w:val="en-US" w:eastAsia="zh-CN"/>
        </w:rPr>
        <w:t>54548</w:t>
      </w:r>
      <w:r>
        <w:rPr>
          <w:rFonts w:hint="eastAsia" w:asciiTheme="minorEastAsia" w:hAnsiTheme="minorEastAsia" w:eastAsiaTheme="minorEastAsia"/>
          <w:sz w:val="24"/>
          <w:szCs w:val="32"/>
        </w:rPr>
        <w:t>万册，较上年</w:t>
      </w:r>
      <w:r>
        <w:rPr>
          <w:rFonts w:hint="eastAsia" w:asciiTheme="minorEastAsia" w:hAnsiTheme="minorEastAsia" w:eastAsiaTheme="minorEastAsia"/>
          <w:sz w:val="24"/>
          <w:szCs w:val="32"/>
          <w:lang w:eastAsia="zh-CN"/>
        </w:rPr>
        <w:t>增加</w:t>
      </w:r>
      <w:r>
        <w:rPr>
          <w:rFonts w:hint="eastAsia" w:asciiTheme="minorEastAsia" w:hAnsiTheme="minorEastAsia" w:eastAsiaTheme="minorEastAsia"/>
          <w:sz w:val="24"/>
          <w:szCs w:val="32"/>
          <w:lang w:val="en-US" w:eastAsia="zh-CN"/>
        </w:rPr>
        <w:t>702</w:t>
      </w:r>
      <w:r>
        <w:rPr>
          <w:rFonts w:asciiTheme="minorEastAsia" w:hAnsiTheme="minorEastAsia" w:eastAsiaTheme="minorEastAsia"/>
          <w:sz w:val="24"/>
          <w:szCs w:val="32"/>
        </w:rPr>
        <w:t>册</w:t>
      </w: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与上年度对比，生均纸质图书</w:t>
      </w:r>
      <w:r>
        <w:rPr>
          <w:rFonts w:hint="eastAsia" w:cs="Arial" w:asciiTheme="minorEastAsia" w:hAnsiTheme="minorEastAsia" w:eastAsiaTheme="minorEastAsia"/>
          <w:spacing w:val="-2"/>
          <w:kern w:val="0"/>
          <w:position w:val="-2"/>
          <w:sz w:val="24"/>
          <w:lang w:val="en-US" w:eastAsia="zh-CN"/>
        </w:rPr>
        <w:t>17</w:t>
      </w:r>
      <w:r>
        <w:rPr>
          <w:rFonts w:cs="Arial" w:asciiTheme="minorEastAsia" w:hAnsiTheme="minorEastAsia" w:eastAsiaTheme="minorEastAsia"/>
          <w:spacing w:val="-2"/>
          <w:kern w:val="0"/>
          <w:position w:val="-2"/>
          <w:sz w:val="24"/>
        </w:rPr>
        <w:t>册</w:t>
      </w:r>
      <w:r>
        <w:rPr>
          <w:rFonts w:hint="eastAsia" w:cs="Arial" w:asciiTheme="minorEastAsia" w:hAnsiTheme="minorEastAsia" w:eastAsiaTheme="minorEastAsia"/>
          <w:spacing w:val="-2"/>
          <w:kern w:val="0"/>
          <w:position w:val="-2"/>
          <w:sz w:val="24"/>
          <w:lang w:eastAsia="zh-CN"/>
        </w:rPr>
        <w:t>。</w:t>
      </w:r>
      <w:r>
        <w:rPr>
          <w:rFonts w:hint="eastAsia" w:asciiTheme="minorEastAsia" w:hAnsiTheme="minorEastAsia" w:eastAsiaTheme="minorEastAsia"/>
          <w:sz w:val="24"/>
          <w:szCs w:val="32"/>
          <w:lang w:eastAsia="zh-CN"/>
        </w:rPr>
        <w:t>学校实施“书香校园”建设工程，要求师生多读书读好书。</w:t>
      </w:r>
      <w:r>
        <w:rPr>
          <w:rFonts w:cs="Arial" w:asciiTheme="minorEastAsia" w:hAnsiTheme="minorEastAsia" w:eastAsiaTheme="minorEastAsia"/>
          <w:spacing w:val="-2"/>
          <w:kern w:val="0"/>
          <w:position w:val="-2"/>
          <w:sz w:val="24"/>
        </w:rPr>
        <w:t>学校和各专业阅览室座位增加</w:t>
      </w:r>
      <w:r>
        <w:rPr>
          <w:rFonts w:hint="eastAsia" w:cs="Arial" w:asciiTheme="minorEastAsia" w:hAnsiTheme="minorEastAsia" w:eastAsiaTheme="minorEastAsia"/>
          <w:spacing w:val="-2"/>
          <w:kern w:val="0"/>
          <w:position w:val="-2"/>
          <w:sz w:val="24"/>
        </w:rPr>
        <w:t>50个</w:t>
      </w:r>
      <w:r>
        <w:rPr>
          <w:rFonts w:hint="eastAsia" w:cs="Arial" w:asciiTheme="minorEastAsia" w:hAnsiTheme="minorEastAsia" w:eastAsiaTheme="minorEastAsia"/>
          <w:spacing w:val="-2"/>
          <w:kern w:val="0"/>
          <w:position w:val="-2"/>
          <w:sz w:val="24"/>
          <w:lang w:eastAsia="zh-CN"/>
        </w:rPr>
        <w:t>。</w:t>
      </w:r>
      <w:r>
        <w:rPr>
          <w:rFonts w:hint="eastAsia" w:cs="Arial" w:asciiTheme="minorEastAsia" w:hAnsiTheme="minorEastAsia" w:eastAsiaTheme="minorEastAsia"/>
          <w:spacing w:val="-2"/>
          <w:kern w:val="0"/>
          <w:position w:val="-2"/>
          <w:sz w:val="24"/>
        </w:rPr>
        <w:t>学前教育、工艺美术、机电一体化、中餐烹饪、酒店服务与管理专业均建了专业图书室或开放书架，</w:t>
      </w:r>
      <w:r>
        <w:rPr>
          <w:rFonts w:hint="eastAsia" w:asciiTheme="minorEastAsia" w:hAnsiTheme="minorEastAsia" w:eastAsiaTheme="minorEastAsia"/>
          <w:sz w:val="24"/>
          <w:szCs w:val="32"/>
          <w:lang w:eastAsia="zh-CN"/>
        </w:rPr>
        <w:t>每天固定时间分年级安排学生到阅览室读书，好书润心田，书香溢校园。</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w:t>
      </w:r>
      <w:r>
        <w:rPr>
          <w:rFonts w:hint="eastAsia" w:asciiTheme="minorEastAsia" w:hAnsiTheme="minorEastAsia" w:eastAsiaTheme="minorEastAsia"/>
          <w:sz w:val="24"/>
          <w:szCs w:val="32"/>
        </w:rPr>
        <w:t>学校生均纸质图书变化情况</w:t>
      </w:r>
      <w:r>
        <w:rPr>
          <w:rFonts w:hint="eastAsia" w:cs="Arial" w:asciiTheme="minorEastAsia" w:hAnsiTheme="minorEastAsia" w:eastAsiaTheme="minorEastAsia"/>
          <w:spacing w:val="-2"/>
          <w:position w:val="-2"/>
          <w:sz w:val="24"/>
        </w:rPr>
        <w:t>统计表1-</w:t>
      </w:r>
      <w:r>
        <w:rPr>
          <w:rFonts w:hint="eastAsia" w:cs="Arial" w:asciiTheme="minorEastAsia" w:hAnsiTheme="minorEastAsia" w:eastAsiaTheme="minorEastAsia"/>
          <w:spacing w:val="-2"/>
          <w:position w:val="-2"/>
          <w:sz w:val="24"/>
          <w:lang w:val="en-US" w:eastAsia="zh-CN"/>
        </w:rPr>
        <w:t>5</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表1-</w:t>
      </w:r>
      <w:r>
        <w:rPr>
          <w:rFonts w:hint="eastAsia" w:cs="Arial" w:asciiTheme="minorEastAsia" w:hAnsiTheme="minorEastAsia" w:eastAsiaTheme="minorEastAsia"/>
          <w:spacing w:val="-2"/>
          <w:position w:val="-2"/>
          <w:sz w:val="24"/>
          <w:lang w:val="en-US" w:eastAsia="zh-CN"/>
        </w:rPr>
        <w:t>5</w:t>
      </w:r>
      <w:r>
        <w:rPr>
          <w:rFonts w:cs="Arial" w:asciiTheme="minorEastAsia" w:hAnsiTheme="minorEastAsia" w:eastAsiaTheme="minorEastAsia"/>
          <w:spacing w:val="-2"/>
          <w:position w:val="-2"/>
          <w:sz w:val="24"/>
        </w:rPr>
        <w:t xml:space="preserve">  </w:t>
      </w:r>
      <w:r>
        <w:rPr>
          <w:rFonts w:hint="eastAsia"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rPr>
        <w:t>学校生均纸质图书变化情况统计表。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26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纸质图书（册）</w:t>
            </w:r>
          </w:p>
        </w:tc>
        <w:tc>
          <w:tcPr>
            <w:tcW w:w="19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生</w:t>
            </w:r>
            <w:r>
              <w:rPr>
                <w:rFonts w:hint="eastAsia" w:cs="Arial" w:asciiTheme="minorEastAsia" w:hAnsiTheme="minorEastAsia" w:eastAsiaTheme="minorEastAsia"/>
                <w:spacing w:val="-2"/>
                <w:position w:val="-2"/>
                <w:lang w:eastAsia="zh-CN"/>
              </w:rPr>
              <w:t>人均</w:t>
            </w:r>
            <w:r>
              <w:rPr>
                <w:rFonts w:hint="eastAsia" w:cs="Arial" w:asciiTheme="minorEastAsia" w:hAnsiTheme="minorEastAsia" w:eastAsiaTheme="minorEastAsia"/>
                <w:spacing w:val="-2"/>
                <w:position w:val="-2"/>
              </w:rPr>
              <w:t>纸质图书（册）</w:t>
            </w:r>
          </w:p>
        </w:tc>
        <w:tc>
          <w:tcPr>
            <w:tcW w:w="162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阅览室座位数（个）</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订阅期刊数（种）</w:t>
            </w:r>
          </w:p>
        </w:tc>
        <w:tc>
          <w:tcPr>
            <w:tcW w:w="139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rPr>
              <w:t>20</w:t>
            </w:r>
            <w:r>
              <w:rPr>
                <w:rFonts w:hint="eastAsia" w:cs="Arial" w:asciiTheme="minorEastAsia" w:hAnsiTheme="minorEastAsia" w:eastAsiaTheme="minorEastAsia"/>
                <w:spacing w:val="-2"/>
                <w:position w:val="-2"/>
                <w:sz w:val="24"/>
                <w:szCs w:val="24"/>
                <w:lang w:val="en-US" w:eastAsia="zh-CN"/>
              </w:rPr>
              <w:t>20</w:t>
            </w:r>
          </w:p>
        </w:tc>
        <w:tc>
          <w:tcPr>
            <w:tcW w:w="1260" w:type="dxa"/>
            <w:vAlign w:val="top"/>
          </w:tcPr>
          <w:p>
            <w:pPr>
              <w:widowControl/>
              <w:rPr>
                <w:rFonts w:hint="default" w:cs="Arial" w:asciiTheme="minorEastAsia" w:hAnsiTheme="minorEastAsia" w:eastAsiaTheme="minorEastAsia"/>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53846</w:t>
            </w:r>
          </w:p>
        </w:tc>
        <w:tc>
          <w:tcPr>
            <w:tcW w:w="1980" w:type="dxa"/>
            <w:vAlign w:val="top"/>
          </w:tcPr>
          <w:p>
            <w:pPr>
              <w:widowControl/>
              <w:rPr>
                <w:rFonts w:hint="default" w:cs="Arial" w:asciiTheme="minorEastAsia" w:hAnsiTheme="minorEastAsia" w:eastAsiaTheme="minorEastAsia"/>
                <w:spacing w:val="-2"/>
                <w:kern w:val="2"/>
                <w:position w:val="-2"/>
                <w:sz w:val="24"/>
                <w:szCs w:val="24"/>
                <w:lang w:val="en-US" w:eastAsia="zh-CN" w:bidi="ar-SA"/>
              </w:rPr>
            </w:pPr>
            <w:r>
              <w:rPr>
                <w:rFonts w:hint="eastAsia" w:cs="Arial" w:asciiTheme="minorEastAsia" w:hAnsiTheme="minorEastAsia" w:eastAsiaTheme="minorEastAsia"/>
                <w:spacing w:val="-2"/>
                <w:position w:val="-2"/>
                <w:sz w:val="24"/>
                <w:szCs w:val="24"/>
                <w:lang w:val="en-US" w:eastAsia="zh-CN"/>
              </w:rPr>
              <w:t>27</w:t>
            </w:r>
          </w:p>
        </w:tc>
        <w:tc>
          <w:tcPr>
            <w:tcW w:w="1620" w:type="dxa"/>
            <w:vAlign w:val="center"/>
          </w:tcPr>
          <w:p>
            <w:pPr>
              <w:widowControl/>
              <w:jc w:val="center"/>
              <w:rPr>
                <w:rFonts w:hint="default" w:cs="Arial" w:asciiTheme="minorEastAsia" w:hAnsiTheme="minorEastAsia" w:eastAsiaTheme="minorEastAsia"/>
                <w:spacing w:val="-2"/>
                <w:kern w:val="2"/>
                <w:position w:val="-2"/>
                <w:sz w:val="24"/>
                <w:szCs w:val="24"/>
                <w:lang w:val="en-US" w:eastAsia="zh-CN" w:bidi="ar-SA"/>
              </w:rPr>
            </w:pPr>
            <w:r>
              <w:rPr>
                <w:rFonts w:hint="eastAsia" w:cs="Arial" w:asciiTheme="minorEastAsia" w:hAnsiTheme="minorEastAsia" w:eastAsiaTheme="minorEastAsia"/>
                <w:spacing w:val="-2"/>
                <w:position w:val="-2"/>
                <w:sz w:val="24"/>
                <w:szCs w:val="24"/>
                <w:lang w:val="en-US" w:eastAsia="zh-CN"/>
              </w:rPr>
              <w:t>350</w:t>
            </w:r>
          </w:p>
        </w:tc>
        <w:tc>
          <w:tcPr>
            <w:tcW w:w="1440" w:type="dxa"/>
            <w:vAlign w:val="center"/>
          </w:tcPr>
          <w:p>
            <w:pPr>
              <w:widowControl/>
              <w:jc w:val="center"/>
              <w:rPr>
                <w:rFonts w:hint="default" w:cs="Arial" w:asciiTheme="minorEastAsia" w:hAnsiTheme="minorEastAsia" w:eastAsiaTheme="minorEastAsia"/>
                <w:spacing w:val="-2"/>
                <w:kern w:val="2"/>
                <w:position w:val="-2"/>
                <w:sz w:val="24"/>
                <w:szCs w:val="24"/>
                <w:lang w:val="en-US" w:eastAsia="zh-CN" w:bidi="ar-SA"/>
              </w:rPr>
            </w:pPr>
            <w:r>
              <w:rPr>
                <w:rFonts w:hint="eastAsia" w:cs="Arial" w:asciiTheme="minorEastAsia" w:hAnsiTheme="minorEastAsia" w:eastAsiaTheme="minorEastAsia"/>
                <w:spacing w:val="-2"/>
                <w:position w:val="-2"/>
                <w:sz w:val="24"/>
                <w:szCs w:val="24"/>
                <w:lang w:val="en-US" w:eastAsia="zh-CN"/>
              </w:rPr>
              <w:t>90</w:t>
            </w:r>
          </w:p>
        </w:tc>
        <w:tc>
          <w:tcPr>
            <w:tcW w:w="1394" w:type="dxa"/>
            <w:vAlign w:val="center"/>
          </w:tcPr>
          <w:p>
            <w:pPr>
              <w:widowControl/>
              <w:jc w:val="center"/>
              <w:rPr>
                <w:rFonts w:hint="default" w:cs="Arial" w:asciiTheme="minorEastAsia" w:hAnsiTheme="minorEastAsia" w:eastAsiaTheme="minorEastAsia"/>
                <w:spacing w:val="-2"/>
                <w:kern w:val="2"/>
                <w:position w:val="-2"/>
                <w:sz w:val="24"/>
                <w:szCs w:val="24"/>
                <w:lang w:val="en-US" w:eastAsia="zh-CN" w:bidi="ar-SA"/>
              </w:rPr>
            </w:pPr>
            <w:r>
              <w:rPr>
                <w:rFonts w:hint="eastAsia" w:cs="Arial" w:asciiTheme="minorEastAsia" w:hAnsiTheme="minorEastAsia" w:eastAsiaTheme="minorEastAsia"/>
                <w:spacing w:val="-2"/>
                <w:position w:val="-2"/>
                <w:sz w:val="24"/>
                <w:szCs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rPr>
              <w:t>20</w:t>
            </w:r>
            <w:r>
              <w:rPr>
                <w:rFonts w:hint="eastAsia" w:cs="Arial" w:asciiTheme="minorEastAsia" w:hAnsiTheme="minorEastAsia" w:eastAsiaTheme="minorEastAsia"/>
                <w:spacing w:val="-2"/>
                <w:position w:val="-2"/>
                <w:sz w:val="24"/>
                <w:szCs w:val="24"/>
                <w:lang w:val="en-US" w:eastAsia="zh-CN"/>
              </w:rPr>
              <w:t>21</w:t>
            </w:r>
          </w:p>
        </w:tc>
        <w:tc>
          <w:tcPr>
            <w:tcW w:w="1260"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54548</w:t>
            </w:r>
          </w:p>
        </w:tc>
        <w:tc>
          <w:tcPr>
            <w:tcW w:w="1980"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25.08</w:t>
            </w:r>
          </w:p>
        </w:tc>
        <w:tc>
          <w:tcPr>
            <w:tcW w:w="1620" w:type="dxa"/>
            <w:vAlign w:val="center"/>
          </w:tcPr>
          <w:p>
            <w:pPr>
              <w:widowControl/>
              <w:spacing w:beforeLines="0" w:afterLines="0"/>
              <w:jc w:val="center"/>
              <w:rPr>
                <w:rFonts w:hint="default" w:ascii="仿宋" w:hAnsi="仿宋" w:eastAsia="仿宋" w:cs="Arial"/>
                <w:color w:val="auto"/>
                <w:spacing w:val="-2"/>
                <w:kern w:val="2"/>
                <w:position w:val="-2"/>
                <w:sz w:val="24"/>
                <w:szCs w:val="21"/>
                <w:lang w:val="en-US" w:eastAsia="zh-CN" w:bidi="ar-SA"/>
              </w:rPr>
            </w:pPr>
            <w:r>
              <w:rPr>
                <w:rFonts w:hint="eastAsia" w:ascii="仿宋" w:hAnsi="仿宋" w:cs="Arial"/>
                <w:color w:val="auto"/>
                <w:spacing w:val="-2"/>
                <w:position w:val="-2"/>
                <w:sz w:val="24"/>
                <w:szCs w:val="21"/>
              </w:rPr>
              <w:t>350</w:t>
            </w:r>
          </w:p>
        </w:tc>
        <w:tc>
          <w:tcPr>
            <w:tcW w:w="1440" w:type="dxa"/>
            <w:vAlign w:val="center"/>
          </w:tcPr>
          <w:p>
            <w:pPr>
              <w:widowControl/>
              <w:spacing w:beforeLines="0" w:afterLines="0"/>
              <w:jc w:val="center"/>
              <w:rPr>
                <w:rFonts w:hint="default" w:ascii="仿宋" w:hAnsi="仿宋" w:eastAsia="仿宋" w:cs="Arial"/>
                <w:color w:val="auto"/>
                <w:spacing w:val="-2"/>
                <w:kern w:val="2"/>
                <w:position w:val="-2"/>
                <w:sz w:val="24"/>
                <w:szCs w:val="21"/>
                <w:lang w:val="en-US" w:eastAsia="zh-CN" w:bidi="ar-SA"/>
              </w:rPr>
            </w:pPr>
            <w:r>
              <w:rPr>
                <w:rFonts w:hint="eastAsia" w:ascii="仿宋" w:hAnsi="仿宋" w:cs="Arial"/>
                <w:color w:val="auto"/>
                <w:spacing w:val="-2"/>
                <w:position w:val="-2"/>
                <w:sz w:val="24"/>
                <w:szCs w:val="21"/>
              </w:rPr>
              <w:t>68</w:t>
            </w:r>
          </w:p>
        </w:tc>
        <w:tc>
          <w:tcPr>
            <w:tcW w:w="1394" w:type="dxa"/>
            <w:vAlign w:val="center"/>
          </w:tcPr>
          <w:p>
            <w:pPr>
              <w:widowControl/>
              <w:spacing w:beforeLines="0" w:afterLines="0"/>
              <w:jc w:val="center"/>
              <w:rPr>
                <w:rFonts w:hint="default" w:ascii="仿宋" w:hAnsi="仿宋" w:eastAsia="仿宋" w:cs="Arial"/>
                <w:color w:val="auto"/>
                <w:spacing w:val="-2"/>
                <w:kern w:val="2"/>
                <w:position w:val="-2"/>
                <w:sz w:val="24"/>
                <w:szCs w:val="21"/>
                <w:lang w:val="en-US" w:eastAsia="zh-CN" w:bidi="ar-SA"/>
              </w:rPr>
            </w:pPr>
            <w:r>
              <w:rPr>
                <w:rFonts w:hint="eastAsia" w:ascii="仿宋" w:hAnsi="仿宋" w:cs="Arial"/>
                <w:color w:val="auto"/>
                <w:spacing w:val="-2"/>
                <w:position w:val="-2"/>
                <w:sz w:val="24"/>
                <w:szCs w:val="21"/>
              </w:rPr>
              <w:t>2.1</w:t>
            </w:r>
          </w:p>
        </w:tc>
      </w:tr>
    </w:tbl>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1.3 教师队伍</w:t>
      </w:r>
    </w:p>
    <w:p>
      <w:pPr>
        <w:widowControl/>
        <w:shd w:val="clear" w:color="auto" w:fill="FFFFFF"/>
        <w:spacing w:line="440" w:lineRule="exact"/>
        <w:ind w:firstLine="480" w:firstLineChars="200"/>
        <w:rPr>
          <w:rFonts w:hint="eastAsia" w:asciiTheme="minorEastAsia" w:hAnsiTheme="minorEastAsia" w:eastAsiaTheme="minorEastAsia"/>
          <w:sz w:val="24"/>
          <w:szCs w:val="32"/>
          <w:lang w:eastAsia="zh-CN"/>
        </w:rPr>
      </w:pPr>
      <w:r>
        <w:rPr>
          <w:rFonts w:hint="eastAsia" w:asciiTheme="minorEastAsia" w:hAnsiTheme="minorEastAsia" w:eastAsiaTheme="minorEastAsia"/>
          <w:sz w:val="24"/>
          <w:szCs w:val="32"/>
        </w:rPr>
        <w:t>本年度学校的教职工数为</w:t>
      </w:r>
      <w:r>
        <w:rPr>
          <w:rFonts w:asciiTheme="minorEastAsia" w:hAnsiTheme="minorEastAsia" w:eastAsiaTheme="minorEastAsia"/>
          <w:sz w:val="24"/>
          <w:szCs w:val="32"/>
        </w:rPr>
        <w:t>2</w:t>
      </w:r>
      <w:r>
        <w:rPr>
          <w:rFonts w:hint="eastAsia" w:asciiTheme="minorEastAsia" w:hAnsiTheme="minorEastAsia" w:eastAsiaTheme="minorEastAsia"/>
          <w:sz w:val="24"/>
          <w:szCs w:val="32"/>
          <w:lang w:val="en-US" w:eastAsia="zh-CN"/>
        </w:rPr>
        <w:t>33</w:t>
      </w:r>
      <w:r>
        <w:rPr>
          <w:rFonts w:hint="eastAsia" w:asciiTheme="minorEastAsia" w:hAnsiTheme="minorEastAsia" w:eastAsiaTheme="minorEastAsia"/>
          <w:sz w:val="24"/>
          <w:szCs w:val="32"/>
        </w:rPr>
        <w:t>人，专任教师数</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84</w:t>
      </w:r>
      <w:r>
        <w:rPr>
          <w:rFonts w:hint="eastAsia" w:asciiTheme="minorEastAsia" w:hAnsiTheme="minorEastAsia" w:eastAsiaTheme="minorEastAsia"/>
          <w:sz w:val="24"/>
          <w:szCs w:val="32"/>
        </w:rPr>
        <w:t>人，专业教师数1</w:t>
      </w:r>
      <w:r>
        <w:rPr>
          <w:rFonts w:hint="eastAsia" w:asciiTheme="minorEastAsia" w:hAnsiTheme="minorEastAsia" w:eastAsiaTheme="minorEastAsia"/>
          <w:sz w:val="24"/>
          <w:szCs w:val="32"/>
          <w:lang w:val="en-US" w:eastAsia="zh-CN"/>
        </w:rPr>
        <w:t>22</w:t>
      </w:r>
      <w:r>
        <w:rPr>
          <w:rFonts w:hint="eastAsia" w:asciiTheme="minorEastAsia" w:hAnsiTheme="minorEastAsia" w:eastAsiaTheme="minorEastAsia"/>
          <w:sz w:val="24"/>
          <w:szCs w:val="32"/>
        </w:rPr>
        <w:t>人，文化教师数</w:t>
      </w:r>
      <w:r>
        <w:rPr>
          <w:rFonts w:asciiTheme="minorEastAsia" w:hAnsiTheme="minorEastAsia" w:eastAsiaTheme="minorEastAsia"/>
          <w:sz w:val="24"/>
          <w:szCs w:val="32"/>
        </w:rPr>
        <w:t>6</w:t>
      </w:r>
      <w:r>
        <w:rPr>
          <w:rFonts w:hint="eastAsia" w:asciiTheme="minorEastAsia" w:hAnsiTheme="minorEastAsia" w:eastAsiaTheme="minorEastAsia"/>
          <w:sz w:val="24"/>
          <w:szCs w:val="32"/>
          <w:lang w:val="en-US" w:eastAsia="zh-CN"/>
        </w:rPr>
        <w:t>2</w:t>
      </w:r>
      <w:r>
        <w:rPr>
          <w:rFonts w:hint="eastAsia" w:asciiTheme="minorEastAsia" w:hAnsiTheme="minorEastAsia" w:eastAsiaTheme="minorEastAsia"/>
          <w:sz w:val="24"/>
          <w:szCs w:val="32"/>
        </w:rPr>
        <w:t>人。其中专业教师中“双师型”教师</w:t>
      </w:r>
      <w:r>
        <w:rPr>
          <w:rFonts w:hint="eastAsia" w:asciiTheme="minorEastAsia" w:hAnsiTheme="minorEastAsia" w:eastAsiaTheme="minorEastAsia"/>
          <w:sz w:val="24"/>
          <w:szCs w:val="32"/>
          <w:lang w:val="en-US" w:eastAsia="zh-CN"/>
        </w:rPr>
        <w:t>57</w:t>
      </w:r>
      <w:r>
        <w:rPr>
          <w:rFonts w:asciiTheme="minorEastAsia" w:hAnsiTheme="minorEastAsia" w:eastAsiaTheme="minorEastAsia"/>
          <w:sz w:val="24"/>
          <w:szCs w:val="32"/>
        </w:rPr>
        <w:t>。</w:t>
      </w:r>
      <w:r>
        <w:rPr>
          <w:rFonts w:hint="eastAsia" w:asciiTheme="minorEastAsia" w:hAnsiTheme="minorEastAsia" w:eastAsiaTheme="minorEastAsia"/>
          <w:sz w:val="24"/>
          <w:szCs w:val="32"/>
        </w:rPr>
        <w:t>外聘专兼职教师占专业任教师比例39.5%。</w:t>
      </w:r>
      <w:r>
        <w:rPr>
          <w:rFonts w:hint="eastAsia" w:asciiTheme="minorEastAsia" w:hAnsiTheme="minorEastAsia" w:eastAsiaTheme="minorEastAsia"/>
          <w:sz w:val="24"/>
          <w:szCs w:val="32"/>
          <w:lang w:eastAsia="zh-CN"/>
        </w:rPr>
        <w:t>有体育课专任教师</w:t>
      </w:r>
      <w:r>
        <w:rPr>
          <w:rFonts w:hint="eastAsia" w:asciiTheme="minorEastAsia" w:hAnsiTheme="minorEastAsia" w:eastAsiaTheme="minorEastAsia"/>
          <w:sz w:val="24"/>
          <w:szCs w:val="32"/>
          <w:lang w:val="en-US" w:eastAsia="zh-CN"/>
        </w:rPr>
        <w:t>15人</w:t>
      </w:r>
      <w:r>
        <w:rPr>
          <w:rFonts w:hint="eastAsia" w:asciiTheme="minorEastAsia" w:hAnsiTheme="minorEastAsia" w:eastAsiaTheme="minorEastAsia"/>
          <w:sz w:val="24"/>
          <w:szCs w:val="32"/>
          <w:lang w:eastAsia="zh-CN"/>
        </w:rPr>
        <w:t>、美育课专任教师</w:t>
      </w:r>
      <w:r>
        <w:rPr>
          <w:rFonts w:hint="eastAsia" w:asciiTheme="minorEastAsia" w:hAnsiTheme="minorEastAsia" w:eastAsiaTheme="minorEastAsia"/>
          <w:sz w:val="24"/>
          <w:szCs w:val="32"/>
          <w:lang w:val="en-US" w:eastAsia="zh-CN"/>
        </w:rPr>
        <w:t>25</w:t>
      </w:r>
      <w:r>
        <w:rPr>
          <w:rFonts w:hint="eastAsia" w:asciiTheme="minorEastAsia" w:hAnsiTheme="minorEastAsia" w:eastAsiaTheme="minorEastAsia"/>
          <w:sz w:val="24"/>
          <w:szCs w:val="32"/>
          <w:lang w:eastAsia="zh-CN"/>
        </w:rPr>
        <w:t>人，每周每班开设</w:t>
      </w:r>
      <w:r>
        <w:rPr>
          <w:rFonts w:hint="eastAsia" w:asciiTheme="minorEastAsia" w:hAnsiTheme="minorEastAsia" w:eastAsiaTheme="minorEastAsia"/>
          <w:sz w:val="24"/>
          <w:szCs w:val="32"/>
          <w:lang w:val="en-US" w:eastAsia="zh-CN"/>
        </w:rPr>
        <w:t>2节体育课，其中有</w:t>
      </w:r>
      <w:r>
        <w:rPr>
          <w:rFonts w:hint="eastAsia" w:asciiTheme="minorEastAsia" w:hAnsiTheme="minorEastAsia" w:eastAsiaTheme="minorEastAsia"/>
          <w:sz w:val="24"/>
          <w:szCs w:val="32"/>
          <w:lang w:eastAsia="zh-CN"/>
        </w:rPr>
        <w:t>一节课为足球特色课程。幼儿保育专业、工艺美术、计算机应用、中餐烹饪等专业开设美育课程，培养师生审美观，提高学生发现美、欣赏美、表现美的能力，通过美育课程激发师生的创造灵感，启迪心智，培养创新能力。</w:t>
      </w:r>
    </w:p>
    <w:p>
      <w:pPr>
        <w:widowControl/>
        <w:shd w:val="clear" w:color="auto" w:fill="FFFFFF"/>
        <w:spacing w:line="440" w:lineRule="exact"/>
        <w:ind w:firstLine="482" w:firstLineChars="200"/>
        <w:rPr>
          <w:rFonts w:hint="eastAsia" w:asciiTheme="minorEastAsia" w:hAnsiTheme="minorEastAsia" w:eastAsiaTheme="minorEastAsia"/>
          <w:b/>
          <w:bCs/>
          <w:sz w:val="24"/>
          <w:szCs w:val="32"/>
        </w:rPr>
      </w:pPr>
      <w:r>
        <w:rPr>
          <w:rFonts w:hint="eastAsia" w:asciiTheme="minorEastAsia" w:hAnsiTheme="minorEastAsia" w:eastAsiaTheme="minorEastAsia"/>
          <w:b/>
          <w:bCs/>
          <w:sz w:val="24"/>
          <w:szCs w:val="32"/>
        </w:rPr>
        <w:t>1.3.1总体结构</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与上年度对比后，在</w:t>
      </w:r>
      <w:r>
        <w:rPr>
          <w:rFonts w:hint="eastAsia" w:cs="Arial" w:asciiTheme="minorEastAsia" w:hAnsiTheme="minorEastAsia" w:eastAsiaTheme="minorEastAsia"/>
          <w:spacing w:val="-2"/>
          <w:position w:val="-2"/>
          <w:sz w:val="24"/>
        </w:rPr>
        <w:t>专任教师占比高于国家中职学校设置标准，专业教师中</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双师型</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教师占比低于国家中职学校设置标准，兼职教师占比</w:t>
      </w:r>
      <w:r>
        <w:rPr>
          <w:rFonts w:hint="eastAsia" w:asciiTheme="minorEastAsia" w:hAnsiTheme="minorEastAsia" w:eastAsiaTheme="minorEastAsia"/>
          <w:sz w:val="24"/>
          <w:szCs w:val="32"/>
        </w:rPr>
        <w:t>与国家中职“设置标准”相当。详见</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年学校教师情况</w:t>
      </w:r>
      <w:r>
        <w:rPr>
          <w:rFonts w:hint="eastAsia" w:cs="Arial" w:asciiTheme="minorEastAsia" w:hAnsiTheme="minorEastAsia" w:eastAsiaTheme="minorEastAsia"/>
          <w:spacing w:val="-2"/>
          <w:position w:val="-2"/>
          <w:sz w:val="24"/>
        </w:rPr>
        <w:t>统计表1-</w:t>
      </w:r>
      <w:r>
        <w:rPr>
          <w:rFonts w:hint="eastAsia" w:cs="Arial" w:asciiTheme="minorEastAsia" w:hAnsiTheme="minorEastAsia" w:eastAsiaTheme="minorEastAsia"/>
          <w:spacing w:val="-2"/>
          <w:position w:val="-2"/>
          <w:sz w:val="24"/>
          <w:lang w:val="en-US" w:eastAsia="zh-CN"/>
        </w:rPr>
        <w:t>6</w:t>
      </w:r>
      <w:r>
        <w:rPr>
          <w:rFonts w:asciiTheme="minorEastAsia" w:hAnsiTheme="minorEastAsia" w:eastAsiaTheme="minorEastAsia"/>
          <w:sz w:val="24"/>
          <w:szCs w:val="32"/>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hint="eastAsia" w:asciiTheme="minorEastAsia" w:hAnsiTheme="minorEastAsia" w:eastAsiaTheme="minorEastAsia"/>
          <w:sz w:val="24"/>
          <w:szCs w:val="32"/>
          <w:lang w:val="en-US" w:eastAsia="zh-CN"/>
        </w:rPr>
        <w:t>6</w:t>
      </w:r>
      <w:r>
        <w:rPr>
          <w:rFonts w:hint="eastAsia" w:asciiTheme="minorEastAsia" w:hAnsiTheme="minorEastAsia" w:eastAsiaTheme="minorEastAsia"/>
          <w:sz w:val="24"/>
          <w:szCs w:val="32"/>
        </w:rPr>
        <w:t xml:space="preserve">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年学校教师情况统计表</w:t>
      </w:r>
    </w:p>
    <w:tbl>
      <w:tblPr>
        <w:tblStyle w:val="10"/>
        <w:tblW w:w="8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924"/>
        <w:gridCol w:w="994"/>
        <w:gridCol w:w="976"/>
        <w:gridCol w:w="1209"/>
        <w:gridCol w:w="924"/>
        <w:gridCol w:w="860"/>
        <w:gridCol w:w="992"/>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92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专任教师总数（人）</w:t>
            </w:r>
          </w:p>
        </w:tc>
        <w:tc>
          <w:tcPr>
            <w:tcW w:w="99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生师比</w:t>
            </w:r>
          </w:p>
        </w:tc>
        <w:tc>
          <w:tcPr>
            <w:tcW w:w="976"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兼职教师人数（人）</w:t>
            </w:r>
          </w:p>
        </w:tc>
        <w:tc>
          <w:tcPr>
            <w:tcW w:w="1209"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兼职教师占比（%）</w:t>
            </w:r>
          </w:p>
        </w:tc>
        <w:tc>
          <w:tcPr>
            <w:tcW w:w="1784"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专任教师中    专业课教师</w:t>
            </w:r>
          </w:p>
        </w:tc>
        <w:tc>
          <w:tcPr>
            <w:tcW w:w="188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专业教师中</w:t>
            </w:r>
            <w:r>
              <w:rPr>
                <w:rFonts w:cs="Arial" w:asciiTheme="minorEastAsia" w:hAnsiTheme="minorEastAsia" w:eastAsiaTheme="minorEastAsia"/>
                <w:spacing w:val="-2"/>
                <w:position w:val="-2"/>
              </w:rPr>
              <w:t xml:space="preserve">   “</w:t>
            </w:r>
            <w:r>
              <w:rPr>
                <w:rFonts w:hint="eastAsia" w:cs="Arial" w:asciiTheme="minorEastAsia" w:hAnsiTheme="minorEastAsia" w:eastAsiaTheme="minorEastAsia"/>
                <w:spacing w:val="-2"/>
                <w:position w:val="-2"/>
              </w:rPr>
              <w:t>双师型</w:t>
            </w:r>
            <w:r>
              <w:rPr>
                <w:rFonts w:cs="Arial" w:asciiTheme="minorEastAsia" w:hAnsiTheme="minorEastAsia" w:eastAsiaTheme="minorEastAsia"/>
                <w:spacing w:val="-2"/>
                <w:position w:val="-2"/>
              </w:rPr>
              <w:t>”</w:t>
            </w:r>
            <w:r>
              <w:rPr>
                <w:rFonts w:hint="eastAsia" w:cs="Arial" w:asciiTheme="minorEastAsia" w:hAnsiTheme="minorEastAsia" w:eastAsiaTheme="minorEastAsia"/>
                <w:spacing w:val="-2"/>
                <w:position w:val="-2"/>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9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76"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1209"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6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占比（%）</w:t>
            </w:r>
          </w:p>
        </w:tc>
        <w:tc>
          <w:tcPr>
            <w:tcW w:w="992"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8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Pr>
          <w:p>
            <w:pPr>
              <w:widowControl/>
              <w:jc w:val="center"/>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rPr>
              <w:t>20</w:t>
            </w:r>
            <w:r>
              <w:rPr>
                <w:rFonts w:hint="eastAsia" w:cs="Arial" w:asciiTheme="minorEastAsia" w:hAnsiTheme="minorEastAsia" w:eastAsiaTheme="minorEastAsia"/>
                <w:spacing w:val="-2"/>
                <w:position w:val="-2"/>
                <w:sz w:val="24"/>
                <w:szCs w:val="24"/>
                <w:lang w:val="en-US" w:eastAsia="zh-CN"/>
              </w:rPr>
              <w:t>20</w:t>
            </w:r>
          </w:p>
        </w:tc>
        <w:tc>
          <w:tcPr>
            <w:tcW w:w="924" w:type="dxa"/>
          </w:tcPr>
          <w:p>
            <w:pPr>
              <w:widowControl/>
              <w:rPr>
                <w:rFonts w:cs="Arial" w:asciiTheme="minorEastAsia" w:hAnsiTheme="minorEastAsia" w:eastAsiaTheme="minorEastAsia"/>
                <w:spacing w:val="-2"/>
                <w:position w:val="-2"/>
                <w:sz w:val="24"/>
                <w:szCs w:val="24"/>
              </w:rPr>
            </w:pPr>
            <w:r>
              <w:rPr>
                <w:rFonts w:ascii="仿宋" w:hAnsi="仿宋" w:eastAsia="仿宋" w:cs="Arial"/>
                <w:spacing w:val="-2"/>
                <w:position w:val="-2"/>
                <w:sz w:val="24"/>
                <w:szCs w:val="24"/>
              </w:rPr>
              <w:t>1</w:t>
            </w:r>
            <w:r>
              <w:rPr>
                <w:rFonts w:hint="eastAsia" w:ascii="仿宋" w:hAnsi="仿宋" w:eastAsia="仿宋" w:cs="Arial"/>
                <w:spacing w:val="-2"/>
                <w:position w:val="-2"/>
                <w:sz w:val="24"/>
                <w:szCs w:val="24"/>
                <w:lang w:val="en-US" w:eastAsia="zh-CN"/>
              </w:rPr>
              <w:t>8</w:t>
            </w:r>
            <w:r>
              <w:rPr>
                <w:rFonts w:ascii="仿宋" w:hAnsi="仿宋" w:eastAsia="仿宋" w:cs="Arial"/>
                <w:spacing w:val="-2"/>
                <w:position w:val="-2"/>
                <w:sz w:val="24"/>
                <w:szCs w:val="24"/>
              </w:rPr>
              <w:t>5</w:t>
            </w:r>
          </w:p>
        </w:tc>
        <w:tc>
          <w:tcPr>
            <w:tcW w:w="994" w:type="dxa"/>
          </w:tcPr>
          <w:p>
            <w:pPr>
              <w:widowControl/>
              <w:rPr>
                <w:rFonts w:hint="default" w:cs="Arial" w:asciiTheme="minorEastAsia" w:hAnsiTheme="minorEastAsia" w:eastAsiaTheme="minorEastAsia"/>
                <w:spacing w:val="-2"/>
                <w:position w:val="-2"/>
                <w:sz w:val="24"/>
                <w:szCs w:val="24"/>
                <w:lang w:val="en-US" w:eastAsia="zh-CN"/>
              </w:rPr>
            </w:pPr>
            <w:r>
              <w:rPr>
                <w:rFonts w:hint="eastAsia" w:ascii="仿宋" w:hAnsi="仿宋" w:eastAsia="仿宋" w:cs="Arial"/>
                <w:spacing w:val="-2"/>
                <w:position w:val="-2"/>
                <w:sz w:val="24"/>
                <w:szCs w:val="24"/>
                <w:lang w:val="en-US" w:eastAsia="zh-CN"/>
              </w:rPr>
              <w:t>10.76</w:t>
            </w:r>
          </w:p>
        </w:tc>
        <w:tc>
          <w:tcPr>
            <w:tcW w:w="976" w:type="dxa"/>
          </w:tcPr>
          <w:p>
            <w:pPr>
              <w:widowControl/>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lang w:val="en-US" w:eastAsia="zh-CN"/>
              </w:rPr>
              <w:t>15</w:t>
            </w:r>
          </w:p>
        </w:tc>
        <w:tc>
          <w:tcPr>
            <w:tcW w:w="1209" w:type="dxa"/>
          </w:tcPr>
          <w:p>
            <w:pPr>
              <w:widowControl/>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lang w:val="en-US" w:eastAsia="zh-CN"/>
              </w:rPr>
              <w:t>8.11</w:t>
            </w:r>
          </w:p>
        </w:tc>
        <w:tc>
          <w:tcPr>
            <w:tcW w:w="924" w:type="dxa"/>
            <w:vAlign w:val="top"/>
          </w:tcPr>
          <w:p>
            <w:pPr>
              <w:widowControl/>
              <w:spacing w:beforeLines="0" w:afterLines="0"/>
              <w:rPr>
                <w:rFonts w:hint="eastAsia" w:ascii="仿宋" w:hAnsi="仿宋" w:eastAsia="仿宋" w:cs="Times New Roman"/>
                <w:spacing w:val="-2"/>
                <w:kern w:val="2"/>
                <w:position w:val="-2"/>
                <w:sz w:val="24"/>
                <w:szCs w:val="24"/>
                <w:lang w:val="en-US" w:eastAsia="zh-CN" w:bidi="ar-SA"/>
              </w:rPr>
            </w:pPr>
            <w:r>
              <w:rPr>
                <w:rFonts w:hint="eastAsia" w:ascii="仿宋" w:hAnsi="仿宋" w:eastAsia="仿宋"/>
                <w:spacing w:val="-2"/>
                <w:position w:val="-2"/>
                <w:sz w:val="24"/>
                <w:szCs w:val="24"/>
              </w:rPr>
              <w:t>120</w:t>
            </w:r>
          </w:p>
        </w:tc>
        <w:tc>
          <w:tcPr>
            <w:tcW w:w="860" w:type="dxa"/>
            <w:vAlign w:val="top"/>
          </w:tcPr>
          <w:p>
            <w:pPr>
              <w:widowControl/>
              <w:spacing w:beforeLines="0" w:afterLines="0"/>
              <w:rPr>
                <w:rFonts w:hint="eastAsia" w:ascii="仿宋" w:hAnsi="仿宋" w:eastAsia="仿宋" w:cs="Times New Roman"/>
                <w:spacing w:val="-2"/>
                <w:kern w:val="2"/>
                <w:position w:val="-2"/>
                <w:sz w:val="24"/>
                <w:szCs w:val="24"/>
                <w:lang w:val="en-US" w:eastAsia="zh-CN" w:bidi="ar-SA"/>
              </w:rPr>
            </w:pPr>
            <w:r>
              <w:rPr>
                <w:rFonts w:hint="eastAsia" w:ascii="仿宋" w:hAnsi="仿宋" w:eastAsia="仿宋"/>
                <w:spacing w:val="-2"/>
                <w:position w:val="-2"/>
                <w:sz w:val="24"/>
                <w:szCs w:val="24"/>
              </w:rPr>
              <w:t>64.9</w:t>
            </w:r>
          </w:p>
        </w:tc>
        <w:tc>
          <w:tcPr>
            <w:tcW w:w="992" w:type="dxa"/>
            <w:vAlign w:val="top"/>
          </w:tcPr>
          <w:p>
            <w:pPr>
              <w:widowControl/>
              <w:spacing w:beforeLines="0" w:afterLines="0"/>
              <w:rPr>
                <w:rFonts w:hint="eastAsia" w:ascii="仿宋" w:hAnsi="仿宋" w:eastAsia="仿宋" w:cs="Times New Roman"/>
                <w:spacing w:val="-2"/>
                <w:kern w:val="2"/>
                <w:position w:val="-2"/>
                <w:sz w:val="24"/>
                <w:szCs w:val="24"/>
                <w:lang w:val="en-US" w:eastAsia="zh-CN" w:bidi="ar-SA"/>
              </w:rPr>
            </w:pPr>
            <w:r>
              <w:rPr>
                <w:rFonts w:hint="eastAsia" w:ascii="仿宋" w:hAnsi="仿宋" w:eastAsia="仿宋"/>
                <w:spacing w:val="-2"/>
                <w:position w:val="-2"/>
                <w:sz w:val="24"/>
                <w:szCs w:val="24"/>
              </w:rPr>
              <w:t>54</w:t>
            </w:r>
          </w:p>
        </w:tc>
        <w:tc>
          <w:tcPr>
            <w:tcW w:w="888" w:type="dxa"/>
            <w:vAlign w:val="top"/>
          </w:tcPr>
          <w:p>
            <w:pPr>
              <w:widowControl/>
              <w:spacing w:beforeLines="0" w:afterLines="0"/>
              <w:rPr>
                <w:rFonts w:hint="default" w:ascii="仿宋" w:hAnsi="仿宋" w:eastAsia="仿宋" w:cs="Times New Roman"/>
                <w:spacing w:val="-2"/>
                <w:kern w:val="2"/>
                <w:position w:val="-2"/>
                <w:sz w:val="24"/>
                <w:szCs w:val="24"/>
                <w:lang w:val="en-US" w:eastAsia="zh-CN" w:bidi="ar-SA"/>
              </w:rPr>
            </w:pPr>
            <w:r>
              <w:rPr>
                <w:rFonts w:hint="eastAsia" w:ascii="仿宋" w:hAnsi="仿宋" w:eastAsia="仿宋" w:cs="Times New Roman"/>
                <w:spacing w:val="-2"/>
                <w:kern w:val="2"/>
                <w:position w:val="-2"/>
                <w:sz w:val="24"/>
                <w:szCs w:val="24"/>
                <w:lang w:val="en-US" w:eastAsia="zh-CN" w:bidi="ar-SA"/>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Pr>
          <w:p>
            <w:pPr>
              <w:widowControl/>
              <w:jc w:val="center"/>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lang w:val="en-US" w:eastAsia="zh-CN"/>
              </w:rPr>
              <w:t>2021</w:t>
            </w:r>
          </w:p>
        </w:tc>
        <w:tc>
          <w:tcPr>
            <w:tcW w:w="924" w:type="dxa"/>
          </w:tcPr>
          <w:p>
            <w:pPr>
              <w:widowControl/>
              <w:rPr>
                <w:rFonts w:hint="default" w:ascii="仿宋" w:hAnsi="仿宋" w:eastAsia="仿宋" w:cs="Arial"/>
                <w:spacing w:val="-2"/>
                <w:position w:val="-2"/>
                <w:sz w:val="24"/>
                <w:szCs w:val="24"/>
                <w:lang w:val="en-US" w:eastAsia="zh-CN"/>
              </w:rPr>
            </w:pPr>
            <w:r>
              <w:rPr>
                <w:rFonts w:hint="eastAsia" w:ascii="仿宋" w:hAnsi="仿宋" w:eastAsia="仿宋" w:cs="Arial"/>
                <w:spacing w:val="-2"/>
                <w:position w:val="-2"/>
                <w:sz w:val="24"/>
                <w:szCs w:val="24"/>
                <w:lang w:val="en-US" w:eastAsia="zh-CN"/>
              </w:rPr>
              <w:t>184</w:t>
            </w:r>
          </w:p>
        </w:tc>
        <w:tc>
          <w:tcPr>
            <w:tcW w:w="994"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11.88</w:t>
            </w:r>
          </w:p>
        </w:tc>
        <w:tc>
          <w:tcPr>
            <w:tcW w:w="976"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kern w:val="2"/>
                <w:position w:val="-2"/>
                <w:sz w:val="24"/>
                <w:szCs w:val="21"/>
                <w:lang w:val="en-US" w:eastAsia="zh-CN" w:bidi="ar-SA"/>
              </w:rPr>
              <w:t>8</w:t>
            </w:r>
          </w:p>
        </w:tc>
        <w:tc>
          <w:tcPr>
            <w:tcW w:w="1209"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kern w:val="2"/>
                <w:position w:val="-2"/>
                <w:sz w:val="24"/>
                <w:szCs w:val="21"/>
                <w:lang w:val="en-US" w:eastAsia="zh-CN" w:bidi="ar-SA"/>
              </w:rPr>
              <w:t>4.34</w:t>
            </w:r>
          </w:p>
        </w:tc>
        <w:tc>
          <w:tcPr>
            <w:tcW w:w="924"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122</w:t>
            </w:r>
          </w:p>
        </w:tc>
        <w:tc>
          <w:tcPr>
            <w:tcW w:w="860"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66.3</w:t>
            </w:r>
          </w:p>
        </w:tc>
        <w:tc>
          <w:tcPr>
            <w:tcW w:w="992"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kern w:val="2"/>
                <w:position w:val="-2"/>
                <w:sz w:val="24"/>
                <w:szCs w:val="21"/>
                <w:lang w:val="en-US" w:eastAsia="zh-CN" w:bidi="ar-SA"/>
              </w:rPr>
              <w:t>57</w:t>
            </w:r>
          </w:p>
        </w:tc>
        <w:tc>
          <w:tcPr>
            <w:tcW w:w="888"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lang w:val="en-US" w:eastAsia="zh-CN"/>
              </w:rPr>
              <w:t>4</w:t>
            </w:r>
            <w:r>
              <w:rPr>
                <w:rFonts w:hint="eastAsia" w:ascii="仿宋" w:hAnsi="仿宋" w:eastAsia="仿宋" w:cs="Arial"/>
                <w:color w:val="auto"/>
                <w:spacing w:val="-2"/>
                <w:position w:val="-2"/>
                <w:sz w:val="24"/>
                <w:szCs w:val="21"/>
              </w:rPr>
              <w:t>6</w:t>
            </w:r>
            <w:r>
              <w:rPr>
                <w:rFonts w:hint="eastAsia" w:ascii="仿宋" w:hAnsi="仿宋" w:eastAsia="仿宋" w:cs="Arial"/>
                <w:color w:val="auto"/>
                <w:spacing w:val="-2"/>
                <w:position w:val="-2"/>
                <w:sz w:val="24"/>
                <w:szCs w:val="21"/>
                <w:lang w:val="en-US" w:eastAsia="zh-CN"/>
              </w:rPr>
              <w:t>.72</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1.3.2专任教师学历和职称结构</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现有专任教师</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84</w:t>
      </w:r>
      <w:r>
        <w:rPr>
          <w:rFonts w:hint="eastAsia" w:asciiTheme="minorEastAsia" w:hAnsiTheme="minorEastAsia" w:eastAsiaTheme="minorEastAsia"/>
          <w:sz w:val="24"/>
          <w:szCs w:val="32"/>
        </w:rPr>
        <w:t>人，其中本科学历</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59</w:t>
      </w:r>
      <w:r>
        <w:rPr>
          <w:rFonts w:hint="eastAsia" w:asciiTheme="minorEastAsia" w:hAnsiTheme="minorEastAsia" w:eastAsiaTheme="minorEastAsia"/>
          <w:sz w:val="24"/>
          <w:szCs w:val="32"/>
        </w:rPr>
        <w:t>人，</w:t>
      </w:r>
      <w:r>
        <w:rPr>
          <w:rFonts w:hint="eastAsia" w:asciiTheme="minorEastAsia" w:hAnsiTheme="minorEastAsia" w:eastAsiaTheme="minorEastAsia"/>
          <w:sz w:val="24"/>
          <w:szCs w:val="32"/>
          <w:lang w:val="en-US" w:eastAsia="zh-CN"/>
        </w:rPr>
        <w:t>正高级教师1人，副</w:t>
      </w:r>
      <w:r>
        <w:rPr>
          <w:rFonts w:hint="eastAsia" w:asciiTheme="minorEastAsia" w:hAnsiTheme="minorEastAsia" w:eastAsiaTheme="minorEastAsia"/>
          <w:sz w:val="24"/>
          <w:szCs w:val="32"/>
        </w:rPr>
        <w:t>高级教师</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09</w:t>
      </w:r>
      <w:r>
        <w:rPr>
          <w:rFonts w:hint="eastAsia" w:asciiTheme="minorEastAsia" w:hAnsiTheme="minorEastAsia" w:eastAsiaTheme="minorEastAsia"/>
          <w:sz w:val="24"/>
          <w:szCs w:val="32"/>
        </w:rPr>
        <w:t>人；自治区级优秀教师和教学能手</w:t>
      </w:r>
      <w:r>
        <w:rPr>
          <w:rFonts w:hint="eastAsia" w:asciiTheme="minorEastAsia" w:hAnsiTheme="minorEastAsia" w:eastAsiaTheme="minorEastAsia"/>
          <w:sz w:val="24"/>
          <w:szCs w:val="32"/>
          <w:lang w:val="en-US" w:eastAsia="zh-CN"/>
        </w:rPr>
        <w:t>3</w:t>
      </w:r>
      <w:r>
        <w:rPr>
          <w:rFonts w:hint="eastAsia" w:asciiTheme="minorEastAsia" w:hAnsiTheme="minorEastAsia" w:eastAsiaTheme="minorEastAsia"/>
          <w:sz w:val="24"/>
          <w:szCs w:val="32"/>
        </w:rPr>
        <w:t>人，自治区级专业带头人3人。市级骨干教师、学科带头人、教学能手45人；赤峰市和红山区名教师11人；中国烹饪大师、高级技师、技师、营养师、培训师、美工设计师、国家导游员等“双师型”教师</w:t>
      </w:r>
      <w:r>
        <w:rPr>
          <w:rFonts w:hint="eastAsia" w:asciiTheme="minorEastAsia" w:hAnsiTheme="minorEastAsia" w:eastAsiaTheme="minorEastAsia"/>
          <w:sz w:val="24"/>
          <w:szCs w:val="32"/>
          <w:lang w:val="en-US" w:eastAsia="zh-CN"/>
        </w:rPr>
        <w:t>57</w:t>
      </w:r>
      <w:r>
        <w:rPr>
          <w:rFonts w:hint="eastAsia" w:asciiTheme="minorEastAsia" w:hAnsiTheme="minorEastAsia" w:eastAsiaTheme="minorEastAsia"/>
          <w:sz w:val="24"/>
          <w:szCs w:val="32"/>
        </w:rPr>
        <w:t>人</w:t>
      </w:r>
      <w:r>
        <w:rPr>
          <w:rFonts w:hint="eastAsia" w:asciiTheme="minorEastAsia" w:hAnsiTheme="minorEastAsia" w:eastAsiaTheme="minorEastAsia"/>
          <w:color w:val="000000" w:themeColor="text1"/>
          <w:sz w:val="24"/>
          <w:szCs w:val="32"/>
          <w14:textFill>
            <w14:solidFill>
              <w14:schemeClr w14:val="tx1"/>
            </w14:solidFill>
          </w14:textFill>
        </w:rPr>
        <w:t>。</w:t>
      </w:r>
      <w:r>
        <w:rPr>
          <w:rFonts w:hint="eastAsia" w:asciiTheme="minorEastAsia" w:hAnsiTheme="minorEastAsia" w:eastAsiaTheme="minorEastAsia"/>
          <w:sz w:val="24"/>
          <w:szCs w:val="32"/>
        </w:rPr>
        <w:t>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年学校专任教师学历和职称结构情况统计表</w:t>
      </w:r>
      <w:r>
        <w:rPr>
          <w:rFonts w:hint="eastAsia" w:cs="Arial" w:asciiTheme="minorEastAsia" w:hAnsiTheme="minorEastAsia" w:eastAsiaTheme="minorEastAsia"/>
          <w:spacing w:val="-2"/>
          <w:position w:val="-2"/>
          <w:sz w:val="24"/>
        </w:rPr>
        <w:t>1-</w:t>
      </w:r>
      <w:r>
        <w:rPr>
          <w:rFonts w:hint="eastAsia" w:cs="Arial" w:asciiTheme="minorEastAsia" w:hAnsiTheme="minorEastAsia" w:eastAsiaTheme="minorEastAsia"/>
          <w:spacing w:val="-2"/>
          <w:position w:val="-2"/>
          <w:sz w:val="24"/>
          <w:lang w:val="en-US" w:eastAsia="zh-CN"/>
        </w:rPr>
        <w:t>7</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hint="eastAsia" w:asciiTheme="minorEastAsia" w:hAnsiTheme="minorEastAsia" w:eastAsiaTheme="minorEastAsia"/>
          <w:sz w:val="24"/>
          <w:szCs w:val="32"/>
          <w:lang w:val="en-US" w:eastAsia="zh-CN"/>
        </w:rPr>
        <w:t>7</w:t>
      </w:r>
      <w:r>
        <w:rPr>
          <w:rFonts w:hint="eastAsia" w:asciiTheme="minorEastAsia" w:hAnsiTheme="minorEastAsia" w:eastAsiaTheme="minorEastAsia"/>
          <w:sz w:val="24"/>
          <w:szCs w:val="32"/>
        </w:rPr>
        <w:t xml:space="preserve">  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w:t>
      </w:r>
      <w:r>
        <w:rPr>
          <w:rFonts w:hint="eastAsia" w:cs="Arial" w:asciiTheme="minorEastAsia" w:hAnsiTheme="minorEastAsia" w:eastAsiaTheme="minorEastAsia"/>
          <w:spacing w:val="-2"/>
          <w:position w:val="-2"/>
          <w:sz w:val="24"/>
        </w:rPr>
        <w:t>专任教师学历和职称结构</w:t>
      </w:r>
      <w:r>
        <w:rPr>
          <w:rFonts w:hint="eastAsia" w:asciiTheme="minorEastAsia" w:hAnsiTheme="minorEastAsia" w:eastAsiaTheme="minorEastAsia"/>
          <w:sz w:val="24"/>
          <w:szCs w:val="32"/>
        </w:rPr>
        <w:t>情况统计表</w:t>
      </w:r>
    </w:p>
    <w:tbl>
      <w:tblPr>
        <w:tblStyle w:val="10"/>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5"/>
        <w:gridCol w:w="887"/>
        <w:gridCol w:w="930"/>
        <w:gridCol w:w="733"/>
        <w:gridCol w:w="733"/>
        <w:gridCol w:w="733"/>
        <w:gridCol w:w="733"/>
        <w:gridCol w:w="733"/>
        <w:gridCol w:w="733"/>
        <w:gridCol w:w="733"/>
        <w:gridCol w:w="733"/>
        <w:gridCol w:w="7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5" w:type="dxa"/>
            <w:vMerge w:val="restart"/>
            <w:shd w:val="clear" w:color="auto" w:fill="5B9BD5" w:themeFill="accent1"/>
            <w:vAlign w:val="center"/>
          </w:tcPr>
          <w:p>
            <w:pPr>
              <w:widowControl/>
              <w:jc w:val="both"/>
              <w:rPr>
                <w:rFonts w:hint="eastAsia" w:eastAsia="宋体"/>
                <w:lang w:eastAsia="zh-CN"/>
              </w:rPr>
            </w:pPr>
            <w:r>
              <w:rPr>
                <w:rFonts w:hint="eastAsia"/>
                <w:lang w:eastAsia="zh-CN"/>
              </w:rPr>
              <w:t>年份</w:t>
            </w:r>
          </w:p>
        </w:tc>
        <w:tc>
          <w:tcPr>
            <w:tcW w:w="1817" w:type="dxa"/>
            <w:gridSpan w:val="2"/>
            <w:vMerge w:val="restart"/>
            <w:shd w:val="clear" w:color="auto" w:fill="5B9BD5" w:themeFill="accent1"/>
            <w:vAlign w:val="center"/>
          </w:tcPr>
          <w:p>
            <w:pPr>
              <w:widowControl/>
              <w:ind w:firstLine="105" w:firstLineChars="50"/>
              <w:jc w:val="center"/>
            </w:pPr>
            <w:r>
              <w:rPr>
                <w:rFonts w:hint="eastAsia"/>
              </w:rPr>
              <w:t>专任教师</w:t>
            </w:r>
          </w:p>
        </w:tc>
        <w:tc>
          <w:tcPr>
            <w:tcW w:w="733" w:type="dxa"/>
            <w:vMerge w:val="restart"/>
            <w:shd w:val="clear" w:color="auto" w:fill="5B9BD5" w:themeFill="accent1"/>
            <w:vAlign w:val="center"/>
          </w:tcPr>
          <w:p>
            <w:pPr>
              <w:widowControl/>
              <w:jc w:val="center"/>
            </w:pPr>
            <w:r>
              <w:rPr>
                <w:rFonts w:hint="eastAsia"/>
              </w:rPr>
              <w:t>人数</w:t>
            </w:r>
          </w:p>
        </w:tc>
        <w:tc>
          <w:tcPr>
            <w:tcW w:w="2199" w:type="dxa"/>
            <w:gridSpan w:val="3"/>
            <w:shd w:val="clear" w:color="auto" w:fill="5B9BD5" w:themeFill="accent1"/>
            <w:vAlign w:val="center"/>
          </w:tcPr>
          <w:p>
            <w:pPr>
              <w:widowControl/>
              <w:jc w:val="center"/>
            </w:pPr>
            <w:r>
              <w:rPr>
                <w:rFonts w:hint="eastAsia"/>
              </w:rPr>
              <w:t>学历情况</w:t>
            </w:r>
          </w:p>
        </w:tc>
        <w:tc>
          <w:tcPr>
            <w:tcW w:w="3665" w:type="dxa"/>
            <w:gridSpan w:val="5"/>
            <w:shd w:val="clear" w:color="auto" w:fill="5B9BD5" w:themeFill="accent1"/>
            <w:vAlign w:val="center"/>
          </w:tcPr>
          <w:p>
            <w:pPr>
              <w:widowControl/>
              <w:jc w:val="center"/>
            </w:pPr>
            <w:r>
              <w:rPr>
                <w:rFonts w:hint="eastAsia"/>
              </w:rPr>
              <w:t>职称情况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5" w:type="dxa"/>
            <w:vMerge w:val="continue"/>
            <w:shd w:val="clear" w:color="auto" w:fill="5B9BD5" w:themeFill="accent1"/>
            <w:vAlign w:val="center"/>
          </w:tcPr>
          <w:p>
            <w:pPr>
              <w:widowControl/>
              <w:jc w:val="center"/>
            </w:pPr>
          </w:p>
        </w:tc>
        <w:tc>
          <w:tcPr>
            <w:tcW w:w="1817" w:type="dxa"/>
            <w:gridSpan w:val="2"/>
            <w:vMerge w:val="continue"/>
            <w:shd w:val="clear" w:color="auto" w:fill="5B9BD5" w:themeFill="accent1"/>
            <w:vAlign w:val="center"/>
          </w:tcPr>
          <w:p>
            <w:pPr>
              <w:widowControl/>
              <w:jc w:val="center"/>
            </w:pPr>
          </w:p>
        </w:tc>
        <w:tc>
          <w:tcPr>
            <w:tcW w:w="733" w:type="dxa"/>
            <w:vMerge w:val="continue"/>
            <w:shd w:val="clear" w:color="auto" w:fill="5B9BD5" w:themeFill="accent1"/>
            <w:vAlign w:val="center"/>
          </w:tcPr>
          <w:p>
            <w:pPr>
              <w:widowControl/>
              <w:jc w:val="center"/>
            </w:pPr>
          </w:p>
        </w:tc>
        <w:tc>
          <w:tcPr>
            <w:tcW w:w="733" w:type="dxa"/>
            <w:shd w:val="clear" w:color="auto" w:fill="5B9BD5" w:themeFill="accent1"/>
            <w:vAlign w:val="center"/>
          </w:tcPr>
          <w:p>
            <w:pPr>
              <w:widowControl/>
              <w:jc w:val="both"/>
            </w:pPr>
            <w:r>
              <w:rPr>
                <w:rFonts w:hint="eastAsia"/>
                <w:sz w:val="16"/>
                <w:szCs w:val="16"/>
              </w:rPr>
              <w:t>研究生</w:t>
            </w:r>
          </w:p>
        </w:tc>
        <w:tc>
          <w:tcPr>
            <w:tcW w:w="733" w:type="dxa"/>
            <w:shd w:val="clear" w:color="auto" w:fill="5B9BD5" w:themeFill="accent1"/>
            <w:vAlign w:val="center"/>
          </w:tcPr>
          <w:p>
            <w:pPr>
              <w:widowControl/>
              <w:jc w:val="center"/>
            </w:pPr>
            <w:r>
              <w:rPr>
                <w:rFonts w:hint="eastAsia"/>
              </w:rPr>
              <w:t>本科</w:t>
            </w:r>
          </w:p>
        </w:tc>
        <w:tc>
          <w:tcPr>
            <w:tcW w:w="733" w:type="dxa"/>
            <w:shd w:val="clear" w:color="auto" w:fill="5B9BD5" w:themeFill="accent1"/>
            <w:vAlign w:val="center"/>
          </w:tcPr>
          <w:p>
            <w:pPr>
              <w:widowControl/>
              <w:jc w:val="center"/>
            </w:pPr>
            <w:r>
              <w:rPr>
                <w:rFonts w:hint="eastAsia"/>
              </w:rPr>
              <w:t>专科</w:t>
            </w:r>
          </w:p>
        </w:tc>
        <w:tc>
          <w:tcPr>
            <w:tcW w:w="733" w:type="dxa"/>
            <w:shd w:val="clear" w:color="auto" w:fill="5B9BD5" w:themeFill="accent1"/>
            <w:vAlign w:val="center"/>
          </w:tcPr>
          <w:p>
            <w:pPr>
              <w:widowControl/>
              <w:jc w:val="center"/>
              <w:rPr>
                <w:sz w:val="16"/>
                <w:szCs w:val="16"/>
              </w:rPr>
            </w:pPr>
            <w:r>
              <w:rPr>
                <w:rFonts w:hint="eastAsia"/>
                <w:sz w:val="16"/>
                <w:szCs w:val="16"/>
              </w:rPr>
              <w:t>正高级</w:t>
            </w:r>
          </w:p>
        </w:tc>
        <w:tc>
          <w:tcPr>
            <w:tcW w:w="733" w:type="dxa"/>
            <w:shd w:val="clear" w:color="auto" w:fill="5B9BD5" w:themeFill="accent1"/>
            <w:vAlign w:val="center"/>
          </w:tcPr>
          <w:p>
            <w:pPr>
              <w:widowControl/>
              <w:jc w:val="center"/>
              <w:rPr>
                <w:sz w:val="16"/>
                <w:szCs w:val="16"/>
              </w:rPr>
            </w:pPr>
            <w:r>
              <w:rPr>
                <w:rFonts w:hint="eastAsia"/>
                <w:sz w:val="16"/>
                <w:szCs w:val="16"/>
              </w:rPr>
              <w:t>副高级</w:t>
            </w:r>
          </w:p>
        </w:tc>
        <w:tc>
          <w:tcPr>
            <w:tcW w:w="733" w:type="dxa"/>
            <w:shd w:val="clear" w:color="auto" w:fill="5B9BD5" w:themeFill="accent1"/>
            <w:vAlign w:val="center"/>
          </w:tcPr>
          <w:p>
            <w:pPr>
              <w:widowControl/>
              <w:jc w:val="center"/>
            </w:pPr>
            <w:r>
              <w:rPr>
                <w:rFonts w:hint="eastAsia"/>
              </w:rPr>
              <w:t>中级</w:t>
            </w:r>
          </w:p>
        </w:tc>
        <w:tc>
          <w:tcPr>
            <w:tcW w:w="733" w:type="dxa"/>
            <w:shd w:val="clear" w:color="auto" w:fill="5B9BD5" w:themeFill="accent1"/>
            <w:vAlign w:val="center"/>
          </w:tcPr>
          <w:p>
            <w:pPr>
              <w:widowControl/>
              <w:jc w:val="center"/>
            </w:pPr>
            <w:r>
              <w:rPr>
                <w:rFonts w:hint="eastAsia"/>
              </w:rPr>
              <w:t>初级</w:t>
            </w:r>
          </w:p>
        </w:tc>
        <w:tc>
          <w:tcPr>
            <w:tcW w:w="733" w:type="dxa"/>
            <w:shd w:val="clear" w:color="auto" w:fill="5B9BD5" w:themeFill="accent1"/>
            <w:vAlign w:val="center"/>
          </w:tcPr>
          <w:p>
            <w:pPr>
              <w:widowControl/>
              <w:jc w:val="center"/>
            </w:pPr>
            <w:r>
              <w:rPr>
                <w:rFonts w:hint="eastAsia"/>
                <w:sz w:val="16"/>
                <w:szCs w:val="16"/>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625" w:type="dxa"/>
            <w:vMerge w:val="restart"/>
            <w:vAlign w:val="center"/>
          </w:tcPr>
          <w:p>
            <w:pPr>
              <w:widowControl/>
              <w:jc w:val="center"/>
              <w:rPr>
                <w:rFonts w:hint="default" w:cs="Arial" w:asciiTheme="majorEastAsia" w:hAnsiTheme="majorEastAsia" w:eastAsiaTheme="majorEastAsia"/>
                <w:spacing w:val="-2"/>
                <w:position w:val="-2"/>
                <w:sz w:val="18"/>
                <w:szCs w:val="18"/>
                <w:lang w:val="en-US" w:eastAsia="zh-CN"/>
              </w:rPr>
            </w:pPr>
            <w:r>
              <w:rPr>
                <w:rFonts w:hint="eastAsia" w:cs="Arial" w:asciiTheme="majorEastAsia" w:hAnsiTheme="majorEastAsia" w:eastAsiaTheme="majorEastAsia"/>
                <w:spacing w:val="-2"/>
                <w:position w:val="-2"/>
                <w:sz w:val="18"/>
                <w:szCs w:val="18"/>
              </w:rPr>
              <w:t>20</w:t>
            </w:r>
            <w:r>
              <w:rPr>
                <w:rFonts w:hint="eastAsia" w:cs="Arial" w:asciiTheme="majorEastAsia" w:hAnsiTheme="majorEastAsia" w:eastAsiaTheme="majorEastAsia"/>
                <w:spacing w:val="-2"/>
                <w:position w:val="-2"/>
                <w:sz w:val="18"/>
                <w:szCs w:val="18"/>
                <w:lang w:val="en-US" w:eastAsia="zh-CN"/>
              </w:rPr>
              <w:t>20</w:t>
            </w:r>
          </w:p>
        </w:tc>
        <w:tc>
          <w:tcPr>
            <w:tcW w:w="887" w:type="dxa"/>
            <w:vMerge w:val="restart"/>
            <w:vAlign w:val="center"/>
          </w:tcPr>
          <w:p>
            <w:pPr>
              <w:widowControl/>
              <w:ind w:left="118" w:leftChars="56"/>
              <w:jc w:val="both"/>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文化课教师</w:t>
            </w: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w:t>
            </w:r>
            <w:r>
              <w:rPr>
                <w:rFonts w:hint="eastAsia" w:cs="Arial" w:asciiTheme="majorEastAsia" w:hAnsiTheme="majorEastAsia" w:eastAsiaTheme="majorEastAsia"/>
                <w:spacing w:val="-2"/>
                <w:position w:val="-2"/>
                <w:sz w:val="15"/>
                <w:szCs w:val="15"/>
              </w:rPr>
              <w:t>（人）</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65</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61</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24</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18</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887"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r>
              <w:rPr>
                <w:rFonts w:hint="eastAsia" w:cs="Arial" w:asciiTheme="majorEastAsia" w:hAnsiTheme="majorEastAsia" w:eastAsiaTheme="majorEastAsia"/>
                <w:spacing w:val="-2"/>
                <w:position w:val="-2"/>
                <w:sz w:val="16"/>
                <w:szCs w:val="16"/>
              </w:rPr>
              <w:t>（%）</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35.1</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33</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13</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9.7</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25" w:type="dxa"/>
            <w:vMerge w:val="continue"/>
            <w:vAlign w:val="center"/>
          </w:tcPr>
          <w:p>
            <w:pPr>
              <w:widowControl/>
              <w:ind w:left="118" w:leftChars="56"/>
              <w:jc w:val="center"/>
              <w:rPr>
                <w:rFonts w:cs="Arial" w:asciiTheme="majorEastAsia" w:hAnsiTheme="majorEastAsia" w:eastAsiaTheme="majorEastAsia"/>
                <w:spacing w:val="-2"/>
                <w:position w:val="-2"/>
                <w:sz w:val="18"/>
                <w:szCs w:val="18"/>
              </w:rPr>
            </w:pPr>
          </w:p>
        </w:tc>
        <w:tc>
          <w:tcPr>
            <w:tcW w:w="887" w:type="dxa"/>
            <w:vMerge w:val="restart"/>
            <w:vAlign w:val="center"/>
          </w:tcPr>
          <w:p>
            <w:pPr>
              <w:ind w:left="118" w:leftChars="56"/>
              <w:jc w:val="center"/>
              <w:rPr>
                <w:rFonts w:hint="eastAsia" w:cs="Arial" w:asciiTheme="majorEastAsia" w:hAnsiTheme="majorEastAsia" w:eastAsiaTheme="majorEastAsia"/>
                <w:spacing w:val="-2"/>
                <w:position w:val="-2"/>
                <w:sz w:val="18"/>
                <w:szCs w:val="18"/>
                <w:lang w:val="en-US" w:eastAsia="zh-CN"/>
              </w:rPr>
            </w:pPr>
            <w:r>
              <w:rPr>
                <w:rFonts w:hint="eastAsia" w:cs="Arial" w:asciiTheme="majorEastAsia" w:hAnsiTheme="majorEastAsia" w:eastAsiaTheme="majorEastAsia"/>
                <w:spacing w:val="-2"/>
                <w:position w:val="-2"/>
                <w:sz w:val="18"/>
                <w:szCs w:val="18"/>
              </w:rPr>
              <w:t>专业课教</w:t>
            </w:r>
            <w:r>
              <w:rPr>
                <w:rFonts w:hint="eastAsia" w:cs="Arial" w:asciiTheme="majorEastAsia" w:hAnsiTheme="majorEastAsia" w:eastAsiaTheme="majorEastAsia"/>
                <w:spacing w:val="-2"/>
                <w:position w:val="-2"/>
                <w:sz w:val="18"/>
                <w:szCs w:val="18"/>
                <w:lang w:val="en-US" w:eastAsia="zh-CN"/>
              </w:rPr>
              <w:t>师</w:t>
            </w: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w:t>
            </w:r>
            <w:r>
              <w:rPr>
                <w:rFonts w:hint="eastAsia" w:cs="Arial" w:asciiTheme="majorEastAsia" w:hAnsiTheme="majorEastAsia" w:eastAsiaTheme="majorEastAsia"/>
                <w:spacing w:val="-2"/>
                <w:position w:val="-2"/>
                <w:sz w:val="16"/>
                <w:szCs w:val="16"/>
              </w:rPr>
              <w:t>（人）</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120</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99</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17</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lang w:val="en-US" w:eastAsia="zh-CN"/>
              </w:rPr>
              <w:t>1</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42</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24</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887"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r>
              <w:rPr>
                <w:rFonts w:hint="eastAsia" w:cs="Arial" w:asciiTheme="majorEastAsia" w:hAnsiTheme="majorEastAsia" w:eastAsiaTheme="majorEastAsia"/>
                <w:spacing w:val="-2"/>
                <w:position w:val="-2"/>
                <w:sz w:val="16"/>
                <w:szCs w:val="16"/>
              </w:rPr>
              <w:t>（%）</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64.9</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53.5</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9.2</w:t>
            </w:r>
          </w:p>
        </w:tc>
        <w:tc>
          <w:tcPr>
            <w:tcW w:w="733" w:type="dxa"/>
            <w:vAlign w:val="top"/>
          </w:tcPr>
          <w:p>
            <w:pPr>
              <w:widowControl/>
              <w:spacing w:beforeLines="0" w:afterLines="0"/>
              <w:rPr>
                <w:rFonts w:hint="default"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r>
              <w:rPr>
                <w:rFonts w:hint="eastAsia" w:ascii="仿宋" w:hAnsi="仿宋" w:eastAsia="仿宋"/>
                <w:spacing w:val="-2"/>
                <w:position w:val="-2"/>
                <w:sz w:val="24"/>
                <w:lang w:val="en-US" w:eastAsia="zh-CN"/>
              </w:rPr>
              <w:t>.8</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22.7</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13</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4.9</w:t>
            </w:r>
          </w:p>
        </w:tc>
        <w:tc>
          <w:tcPr>
            <w:tcW w:w="73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25" w:type="dxa"/>
            <w:vMerge w:val="restart"/>
            <w:vAlign w:val="center"/>
          </w:tcPr>
          <w:p>
            <w:pPr>
              <w:widowControl/>
              <w:jc w:val="center"/>
              <w:rPr>
                <w:rFonts w:hint="default" w:cs="Arial" w:asciiTheme="majorEastAsia" w:hAnsiTheme="majorEastAsia" w:eastAsiaTheme="majorEastAsia"/>
                <w:spacing w:val="-2"/>
                <w:position w:val="-2"/>
                <w:sz w:val="18"/>
                <w:szCs w:val="18"/>
                <w:lang w:val="en-US"/>
              </w:rPr>
            </w:pPr>
            <w:r>
              <w:rPr>
                <w:rFonts w:hint="eastAsia" w:cs="Arial" w:asciiTheme="majorEastAsia" w:hAnsiTheme="majorEastAsia" w:eastAsiaTheme="majorEastAsia"/>
                <w:spacing w:val="-2"/>
                <w:position w:val="-2"/>
                <w:sz w:val="18"/>
                <w:szCs w:val="18"/>
              </w:rPr>
              <w:t>20</w:t>
            </w:r>
            <w:r>
              <w:rPr>
                <w:rFonts w:hint="eastAsia" w:cs="Arial" w:asciiTheme="majorEastAsia" w:hAnsiTheme="majorEastAsia" w:eastAsiaTheme="majorEastAsia"/>
                <w:spacing w:val="-2"/>
                <w:position w:val="-2"/>
                <w:sz w:val="18"/>
                <w:szCs w:val="18"/>
                <w:lang w:val="en-US" w:eastAsia="zh-CN"/>
              </w:rPr>
              <w:t>21</w:t>
            </w:r>
          </w:p>
        </w:tc>
        <w:tc>
          <w:tcPr>
            <w:tcW w:w="887" w:type="dxa"/>
            <w:vMerge w:val="restart"/>
            <w:vAlign w:val="center"/>
          </w:tcPr>
          <w:p>
            <w:pPr>
              <w:widowControl/>
              <w:jc w:val="center"/>
              <w:rPr>
                <w:rFonts w:hint="eastAsia"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文化课</w:t>
            </w:r>
          </w:p>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教师</w:t>
            </w: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w:t>
            </w:r>
            <w:r>
              <w:rPr>
                <w:rFonts w:hint="eastAsia" w:cs="Arial" w:asciiTheme="majorEastAsia" w:hAnsiTheme="majorEastAsia" w:eastAsiaTheme="majorEastAsia"/>
                <w:spacing w:val="-2"/>
                <w:position w:val="-2"/>
                <w:sz w:val="15"/>
                <w:szCs w:val="15"/>
              </w:rPr>
              <w:t>（人）</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62</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57</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0</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26</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18</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3</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887" w:type="dxa"/>
            <w:vMerge w:val="continue"/>
            <w:vAlign w:val="center"/>
          </w:tcPr>
          <w:p>
            <w:pPr>
              <w:widowControl/>
              <w:ind w:left="118" w:leftChars="56"/>
              <w:jc w:val="center"/>
              <w:rPr>
                <w:rFonts w:cs="Arial" w:asciiTheme="majorEastAsia" w:hAnsiTheme="majorEastAsia" w:eastAsiaTheme="majorEastAsia"/>
                <w:spacing w:val="-2"/>
                <w:position w:val="-2"/>
                <w:sz w:val="18"/>
                <w:szCs w:val="18"/>
              </w:rPr>
            </w:pPr>
          </w:p>
        </w:tc>
        <w:tc>
          <w:tcPr>
            <w:tcW w:w="930" w:type="dxa"/>
            <w:vAlign w:val="center"/>
          </w:tcPr>
          <w:p>
            <w:pPr>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r>
              <w:rPr>
                <w:rFonts w:hint="eastAsia" w:cs="Arial" w:asciiTheme="majorEastAsia" w:hAnsiTheme="majorEastAsia" w:eastAsiaTheme="majorEastAsia"/>
                <w:spacing w:val="-2"/>
                <w:position w:val="-2"/>
                <w:sz w:val="16"/>
                <w:szCs w:val="16"/>
              </w:rPr>
              <w:t>（%）</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33.7</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6.5</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91.9</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1.6</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0</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41.9</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29.0</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4.8</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887" w:type="dxa"/>
            <w:vMerge w:val="restart"/>
            <w:vAlign w:val="center"/>
          </w:tcPr>
          <w:p>
            <w:pPr>
              <w:ind w:left="118" w:leftChars="56"/>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专业课教师</w:t>
            </w:r>
          </w:p>
        </w:tc>
        <w:tc>
          <w:tcPr>
            <w:tcW w:w="930"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w:t>
            </w:r>
            <w:r>
              <w:rPr>
                <w:rFonts w:hint="eastAsia" w:cs="Arial" w:asciiTheme="majorEastAsia" w:hAnsiTheme="majorEastAsia" w:eastAsiaTheme="majorEastAsia"/>
                <w:spacing w:val="-2"/>
                <w:position w:val="-2"/>
                <w:sz w:val="15"/>
                <w:szCs w:val="15"/>
              </w:rPr>
              <w:t>（人）</w:t>
            </w:r>
          </w:p>
        </w:tc>
        <w:tc>
          <w:tcPr>
            <w:tcW w:w="733"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122</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5</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102</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10</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49</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27</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9</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887" w:type="dxa"/>
            <w:vMerge w:val="continue"/>
            <w:vAlign w:val="center"/>
          </w:tcPr>
          <w:p>
            <w:pPr>
              <w:ind w:left="118" w:leftChars="56"/>
              <w:jc w:val="center"/>
              <w:rPr>
                <w:rFonts w:cs="Arial" w:asciiTheme="majorEastAsia" w:hAnsiTheme="majorEastAsia" w:eastAsiaTheme="majorEastAsia"/>
                <w:spacing w:val="-2"/>
                <w:position w:val="-2"/>
                <w:sz w:val="18"/>
                <w:szCs w:val="18"/>
              </w:rPr>
            </w:pPr>
          </w:p>
        </w:tc>
        <w:tc>
          <w:tcPr>
            <w:tcW w:w="930" w:type="dxa"/>
            <w:vAlign w:val="center"/>
          </w:tcPr>
          <w:p>
            <w:pPr>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r>
              <w:rPr>
                <w:rFonts w:hint="eastAsia" w:cs="Arial" w:asciiTheme="majorEastAsia" w:hAnsiTheme="majorEastAsia" w:eastAsiaTheme="majorEastAsia"/>
                <w:spacing w:val="-2"/>
                <w:position w:val="-2"/>
                <w:sz w:val="16"/>
                <w:szCs w:val="16"/>
              </w:rPr>
              <w:t>（%）</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66.3</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4.1</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83.6</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8.2</w:t>
            </w:r>
          </w:p>
        </w:tc>
        <w:tc>
          <w:tcPr>
            <w:tcW w:w="733" w:type="dxa"/>
            <w:vAlign w:val="top"/>
          </w:tcPr>
          <w:p>
            <w:pPr>
              <w:widowControl/>
              <w:spacing w:beforeLines="0" w:afterLines="0"/>
              <w:rPr>
                <w:rFonts w:hint="default"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0.8</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40.2</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22.1</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7.4</w:t>
            </w:r>
          </w:p>
        </w:tc>
        <w:tc>
          <w:tcPr>
            <w:tcW w:w="733" w:type="dxa"/>
            <w:vAlign w:val="top"/>
          </w:tcPr>
          <w:p>
            <w:pPr>
              <w:widowControl/>
              <w:spacing w:beforeLines="0" w:afterLines="0"/>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29.5</w:t>
            </w:r>
          </w:p>
        </w:tc>
      </w:tr>
    </w:tbl>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rPr>
      </w:pP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1.3.3专任教师年龄结构</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近两个学年专任教师情况，</w:t>
      </w:r>
      <w:r>
        <w:rPr>
          <w:rFonts w:hint="eastAsia" w:asciiTheme="minorEastAsia" w:hAnsiTheme="minorEastAsia" w:eastAsiaTheme="minorEastAsia"/>
          <w:sz w:val="24"/>
          <w:szCs w:val="32"/>
        </w:rPr>
        <w:t>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年学校专任教师年龄结构情况</w:t>
      </w:r>
      <w:r>
        <w:rPr>
          <w:rFonts w:hint="eastAsia" w:cs="Arial" w:asciiTheme="minorEastAsia" w:hAnsiTheme="minorEastAsia" w:eastAsiaTheme="minorEastAsia"/>
          <w:spacing w:val="-2"/>
          <w:position w:val="-2"/>
          <w:sz w:val="24"/>
        </w:rPr>
        <w:t>统计表1-</w:t>
      </w:r>
      <w:r>
        <w:rPr>
          <w:rFonts w:hint="eastAsia" w:cs="Arial" w:asciiTheme="minorEastAsia" w:hAnsiTheme="minorEastAsia" w:eastAsiaTheme="minorEastAsia"/>
          <w:spacing w:val="-2"/>
          <w:position w:val="-2"/>
          <w:sz w:val="24"/>
          <w:lang w:val="en-US" w:eastAsia="zh-CN"/>
        </w:rPr>
        <w:t>8</w:t>
      </w:r>
      <w:r>
        <w:rPr>
          <w:rFonts w:cs="Arial" w:asciiTheme="minorEastAsia" w:hAnsiTheme="minorEastAsia" w:eastAsiaTheme="minorEastAsia"/>
          <w:spacing w:val="-2"/>
          <w:position w:val="-2"/>
          <w:sz w:val="24"/>
        </w:rPr>
        <w:t xml:space="preserve"> </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hint="eastAsia" w:asciiTheme="minorEastAsia" w:hAnsiTheme="minorEastAsia" w:eastAsiaTheme="minorEastAsia"/>
          <w:sz w:val="24"/>
          <w:szCs w:val="32"/>
          <w:lang w:val="en-US" w:eastAsia="zh-CN"/>
        </w:rPr>
        <w:t>8</w:t>
      </w:r>
      <w:r>
        <w:rPr>
          <w:rFonts w:hint="eastAsia" w:asciiTheme="minorEastAsia" w:hAnsiTheme="minorEastAsia" w:eastAsiaTheme="minorEastAsia"/>
          <w:sz w:val="24"/>
          <w:szCs w:val="32"/>
        </w:rPr>
        <w:t xml:space="preserve">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年学校</w:t>
      </w:r>
      <w:r>
        <w:rPr>
          <w:rFonts w:hint="eastAsia" w:cs="Arial" w:asciiTheme="minorEastAsia" w:hAnsiTheme="minorEastAsia" w:eastAsiaTheme="minorEastAsia"/>
          <w:spacing w:val="-2"/>
          <w:position w:val="-2"/>
          <w:sz w:val="24"/>
        </w:rPr>
        <w:t>专任教师年龄结构</w:t>
      </w:r>
      <w:r>
        <w:rPr>
          <w:rFonts w:hint="eastAsia" w:asciiTheme="minorEastAsia" w:hAnsiTheme="minorEastAsia" w:eastAsiaTheme="minorEastAsia"/>
          <w:sz w:val="24"/>
          <w:szCs w:val="32"/>
        </w:rPr>
        <w:t>情况统计表</w:t>
      </w:r>
    </w:p>
    <w:tbl>
      <w:tblPr>
        <w:tblStyle w:val="10"/>
        <w:tblW w:w="8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924"/>
        <w:gridCol w:w="865"/>
        <w:gridCol w:w="865"/>
        <w:gridCol w:w="865"/>
        <w:gridCol w:w="865"/>
        <w:gridCol w:w="865"/>
        <w:gridCol w:w="865"/>
        <w:gridCol w:w="865"/>
        <w:gridCol w:w="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92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专任教师总数</w:t>
            </w:r>
            <w:r>
              <w:rPr>
                <w:rFonts w:hint="eastAsia" w:cs="Arial" w:asciiTheme="minorEastAsia" w:hAnsiTheme="minorEastAsia" w:eastAsiaTheme="minorEastAsia"/>
                <w:spacing w:val="-2"/>
                <w:position w:val="-2"/>
                <w:sz w:val="16"/>
                <w:szCs w:val="16"/>
              </w:rPr>
              <w:t>（人）</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35岁及以下</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36-45岁</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4</w:t>
            </w:r>
            <w:r>
              <w:rPr>
                <w:rFonts w:cs="Arial" w:asciiTheme="minorEastAsia" w:hAnsiTheme="minorEastAsia" w:eastAsiaTheme="minorEastAsia"/>
                <w:spacing w:val="-2"/>
                <w:position w:val="-2"/>
              </w:rPr>
              <w:t>6</w:t>
            </w:r>
            <w:r>
              <w:rPr>
                <w:rFonts w:hint="eastAsia" w:cs="Arial" w:asciiTheme="minorEastAsia" w:hAnsiTheme="minorEastAsia" w:eastAsiaTheme="minorEastAsia"/>
                <w:spacing w:val="-2"/>
                <w:position w:val="-2"/>
              </w:rPr>
              <w:t>-55岁</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56岁及以上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59"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w:t>
            </w:r>
            <w:r>
              <w:rPr>
                <w:rFonts w:hint="eastAsia" w:cs="Arial" w:asciiTheme="minorEastAsia" w:hAnsiTheme="minorEastAsia" w:eastAsiaTheme="minorEastAsia"/>
                <w:spacing w:val="-2"/>
                <w:position w:val="-2"/>
                <w:sz w:val="16"/>
                <w:szCs w:val="16"/>
              </w:rPr>
              <w:t>（人）</w:t>
            </w:r>
          </w:p>
        </w:tc>
        <w:tc>
          <w:tcPr>
            <w:tcW w:w="865" w:type="dxa"/>
            <w:shd w:val="clear" w:color="auto" w:fill="5B9BD5" w:themeFill="accent1"/>
            <w:vAlign w:val="center"/>
          </w:tcPr>
          <w:p>
            <w:pPr>
              <w:widowControl/>
              <w:jc w:val="center"/>
              <w:rPr>
                <w:rFonts w:hint="eastAsia"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sz w:val="18"/>
                <w:szCs w:val="18"/>
              </w:rPr>
              <w:t>（%）</w:t>
            </w: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w:t>
            </w:r>
            <w:r>
              <w:rPr>
                <w:rFonts w:hint="eastAsia" w:cs="Arial" w:asciiTheme="minorEastAsia" w:hAnsiTheme="minorEastAsia" w:eastAsiaTheme="minorEastAsia"/>
                <w:spacing w:val="-2"/>
                <w:position w:val="-2"/>
                <w:sz w:val="16"/>
                <w:szCs w:val="16"/>
              </w:rPr>
              <w:t>（人）</w:t>
            </w:r>
          </w:p>
        </w:tc>
        <w:tc>
          <w:tcPr>
            <w:tcW w:w="865" w:type="dxa"/>
            <w:shd w:val="clear" w:color="auto" w:fill="5B9BD5" w:themeFill="accent1"/>
            <w:vAlign w:val="center"/>
          </w:tcPr>
          <w:p>
            <w:pPr>
              <w:widowControl/>
              <w:jc w:val="center"/>
              <w:rPr>
                <w:rFonts w:hint="eastAsia"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sz w:val="18"/>
                <w:szCs w:val="18"/>
              </w:rPr>
              <w:t>（%）</w:t>
            </w: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w:t>
            </w:r>
            <w:r>
              <w:rPr>
                <w:rFonts w:hint="eastAsia" w:cs="Arial" w:asciiTheme="minorEastAsia" w:hAnsiTheme="minorEastAsia" w:eastAsiaTheme="minorEastAsia"/>
                <w:spacing w:val="-2"/>
                <w:position w:val="-2"/>
                <w:sz w:val="16"/>
                <w:szCs w:val="16"/>
              </w:rPr>
              <w:t>（人）</w:t>
            </w: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r>
              <w:rPr>
                <w:rFonts w:hint="eastAsia" w:cs="Arial" w:asciiTheme="minorEastAsia" w:hAnsiTheme="minorEastAsia" w:eastAsiaTheme="minorEastAsia"/>
                <w:spacing w:val="-2"/>
                <w:position w:val="-2"/>
                <w:sz w:val="18"/>
                <w:szCs w:val="18"/>
              </w:rPr>
              <w:t>（%）</w:t>
            </w: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w:t>
            </w:r>
            <w:r>
              <w:rPr>
                <w:rFonts w:hint="eastAsia" w:cs="Arial" w:asciiTheme="minorEastAsia" w:hAnsiTheme="minorEastAsia" w:eastAsiaTheme="minorEastAsia"/>
                <w:spacing w:val="-2"/>
                <w:position w:val="-2"/>
                <w:sz w:val="16"/>
                <w:szCs w:val="16"/>
              </w:rPr>
              <w:t>（人）</w:t>
            </w:r>
          </w:p>
        </w:tc>
        <w:tc>
          <w:tcPr>
            <w:tcW w:w="86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r>
              <w:rPr>
                <w:rFonts w:hint="eastAsia" w:cs="Arial" w:asciiTheme="minorEastAsia" w:hAnsiTheme="minorEastAsia" w:eastAsiaTheme="minorEastAsia"/>
                <w:spacing w:val="-2"/>
                <w:position w:val="-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924" w:type="dxa"/>
            <w:vAlign w:val="top"/>
          </w:tcPr>
          <w:p>
            <w:pPr>
              <w:widowControl/>
              <w:rPr>
                <w:rFonts w:hint="default" w:cs="Arial" w:asciiTheme="minorEastAsia" w:hAnsiTheme="minorEastAsia" w:eastAsiaTheme="minorEastAsia"/>
                <w:spacing w:val="-2"/>
                <w:kern w:val="2"/>
                <w:position w:val="-2"/>
                <w:sz w:val="24"/>
                <w:szCs w:val="24"/>
                <w:lang w:val="en-US" w:eastAsia="zh-CN" w:bidi="ar-SA"/>
              </w:rPr>
            </w:pPr>
            <w:r>
              <w:rPr>
                <w:rFonts w:hint="eastAsia" w:cs="Arial" w:asciiTheme="minorEastAsia" w:hAnsiTheme="minorEastAsia" w:eastAsiaTheme="minorEastAsia"/>
                <w:spacing w:val="-2"/>
                <w:position w:val="-2"/>
                <w:sz w:val="24"/>
                <w:szCs w:val="24"/>
                <w:lang w:val="en-US" w:eastAsia="zh-CN"/>
              </w:rPr>
              <w:t>185</w:t>
            </w:r>
          </w:p>
        </w:tc>
        <w:tc>
          <w:tcPr>
            <w:tcW w:w="865" w:type="dxa"/>
            <w:vAlign w:val="center"/>
          </w:tcPr>
          <w:p>
            <w:pPr>
              <w:widowControl/>
              <w:jc w:val="center"/>
              <w:rPr>
                <w:rFonts w:hint="default" w:ascii="仿宋" w:hAnsi="仿宋" w:eastAsia="仿宋" w:cs="Times New Roman"/>
                <w:kern w:val="0"/>
                <w:sz w:val="24"/>
                <w:szCs w:val="24"/>
                <w:lang w:val="en-US" w:eastAsia="zh-CN" w:bidi="ar-SA"/>
              </w:rPr>
            </w:pPr>
            <w:r>
              <w:rPr>
                <w:rFonts w:hint="eastAsia" w:ascii="仿宋" w:hAnsi="仿宋" w:eastAsia="仿宋"/>
                <w:kern w:val="0"/>
                <w:sz w:val="24"/>
                <w:szCs w:val="24"/>
                <w:lang w:val="en-US" w:eastAsia="zh-CN"/>
              </w:rPr>
              <w:t>52</w:t>
            </w:r>
          </w:p>
        </w:tc>
        <w:tc>
          <w:tcPr>
            <w:tcW w:w="865" w:type="dxa"/>
            <w:vAlign w:val="center"/>
          </w:tcPr>
          <w:p>
            <w:pPr>
              <w:widowControl/>
              <w:jc w:val="center"/>
              <w:rPr>
                <w:rFonts w:hint="default" w:ascii="仿宋" w:hAnsi="仿宋" w:eastAsia="仿宋" w:cs="Times New Roman"/>
                <w:kern w:val="0"/>
                <w:sz w:val="24"/>
                <w:szCs w:val="24"/>
                <w:lang w:val="en-US" w:eastAsia="zh-CN" w:bidi="ar-SA"/>
              </w:rPr>
            </w:pPr>
            <w:r>
              <w:rPr>
                <w:rFonts w:hint="eastAsia" w:ascii="仿宋" w:hAnsi="仿宋" w:eastAsia="仿宋"/>
                <w:kern w:val="0"/>
                <w:sz w:val="24"/>
                <w:szCs w:val="24"/>
                <w:lang w:val="en-US" w:eastAsia="zh-CN"/>
              </w:rPr>
              <w:t>28.0</w:t>
            </w:r>
          </w:p>
        </w:tc>
        <w:tc>
          <w:tcPr>
            <w:tcW w:w="865" w:type="dxa"/>
            <w:vAlign w:val="center"/>
          </w:tcPr>
          <w:p>
            <w:pPr>
              <w:widowControl/>
              <w:jc w:val="center"/>
              <w:rPr>
                <w:rFonts w:hint="default" w:ascii="仿宋" w:hAnsi="仿宋" w:eastAsia="仿宋" w:cs="Times New Roman"/>
                <w:kern w:val="0"/>
                <w:sz w:val="24"/>
                <w:szCs w:val="24"/>
                <w:lang w:val="en-US" w:eastAsia="zh-CN" w:bidi="ar-SA"/>
              </w:rPr>
            </w:pPr>
            <w:r>
              <w:rPr>
                <w:rFonts w:hint="eastAsia" w:ascii="仿宋" w:hAnsi="仿宋" w:eastAsia="仿宋"/>
                <w:kern w:val="0"/>
                <w:sz w:val="24"/>
                <w:szCs w:val="24"/>
                <w:lang w:val="en-US" w:eastAsia="zh-CN"/>
              </w:rPr>
              <w:t>58</w:t>
            </w:r>
          </w:p>
        </w:tc>
        <w:tc>
          <w:tcPr>
            <w:tcW w:w="865" w:type="dxa"/>
            <w:vAlign w:val="top"/>
          </w:tcPr>
          <w:p>
            <w:pPr>
              <w:widowControl/>
              <w:rPr>
                <w:rFonts w:hint="default" w:ascii="仿宋" w:hAnsi="仿宋" w:eastAsia="仿宋" w:cs="Arial"/>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31.4</w:t>
            </w:r>
          </w:p>
        </w:tc>
        <w:tc>
          <w:tcPr>
            <w:tcW w:w="865" w:type="dxa"/>
            <w:vAlign w:val="top"/>
          </w:tcPr>
          <w:p>
            <w:pPr>
              <w:widowControl/>
              <w:rPr>
                <w:rFonts w:hint="default" w:ascii="仿宋" w:hAnsi="仿宋" w:eastAsia="仿宋" w:cs="Arial"/>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57</w:t>
            </w:r>
          </w:p>
        </w:tc>
        <w:tc>
          <w:tcPr>
            <w:tcW w:w="865" w:type="dxa"/>
            <w:vAlign w:val="top"/>
          </w:tcPr>
          <w:p>
            <w:pPr>
              <w:widowControl/>
              <w:rPr>
                <w:rFonts w:hint="eastAsia" w:ascii="仿宋" w:hAnsi="仿宋" w:eastAsia="仿宋" w:cs="Arial"/>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30.8</w:t>
            </w:r>
          </w:p>
        </w:tc>
        <w:tc>
          <w:tcPr>
            <w:tcW w:w="865" w:type="dxa"/>
            <w:vAlign w:val="top"/>
          </w:tcPr>
          <w:p>
            <w:pPr>
              <w:widowControl/>
              <w:rPr>
                <w:rFonts w:hint="default" w:ascii="仿宋" w:hAnsi="仿宋" w:eastAsia="仿宋" w:cs="Arial"/>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14</w:t>
            </w:r>
          </w:p>
        </w:tc>
        <w:tc>
          <w:tcPr>
            <w:tcW w:w="865" w:type="dxa"/>
            <w:vAlign w:val="top"/>
          </w:tcPr>
          <w:p>
            <w:pPr>
              <w:widowControl/>
              <w:rPr>
                <w:rFonts w:hint="default" w:ascii="仿宋" w:hAnsi="仿宋" w:eastAsia="仿宋" w:cs="Arial"/>
                <w:spacing w:val="-2"/>
                <w:kern w:val="2"/>
                <w:position w:val="-2"/>
                <w:sz w:val="24"/>
                <w:szCs w:val="24"/>
                <w:lang w:val="en-US" w:eastAsia="zh-CN" w:bidi="ar-SA"/>
              </w:rPr>
            </w:pPr>
            <w:r>
              <w:rPr>
                <w:rFonts w:hint="eastAsia" w:ascii="仿宋" w:hAnsi="仿宋" w:eastAsia="仿宋" w:cs="Arial"/>
                <w:spacing w:val="-2"/>
                <w:position w:val="-2"/>
                <w:sz w:val="24"/>
                <w:szCs w:val="24"/>
                <w:lang w:val="en-US" w:eastAsia="zh-CN"/>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924" w:type="dxa"/>
          </w:tcPr>
          <w:p>
            <w:pPr>
              <w:widowControl/>
              <w:rPr>
                <w:rFonts w:hint="default" w:cs="Arial" w:asciiTheme="minorEastAsia" w:hAnsiTheme="minorEastAsia" w:eastAsiaTheme="minorEastAsia"/>
                <w:spacing w:val="-2"/>
                <w:position w:val="-2"/>
                <w:sz w:val="24"/>
                <w:szCs w:val="24"/>
                <w:lang w:val="en-US" w:eastAsia="zh-CN"/>
              </w:rPr>
            </w:pPr>
            <w:r>
              <w:rPr>
                <w:rFonts w:hint="eastAsia" w:cs="Arial" w:asciiTheme="minorEastAsia" w:hAnsiTheme="minorEastAsia" w:eastAsiaTheme="minorEastAsia"/>
                <w:spacing w:val="-2"/>
                <w:position w:val="-2"/>
                <w:sz w:val="24"/>
                <w:szCs w:val="24"/>
                <w:lang w:val="en-US" w:eastAsia="zh-CN"/>
              </w:rPr>
              <w:t>184</w:t>
            </w:r>
          </w:p>
        </w:tc>
        <w:tc>
          <w:tcPr>
            <w:tcW w:w="865" w:type="dxa"/>
            <w:vAlign w:val="center"/>
          </w:tcPr>
          <w:p>
            <w:pPr>
              <w:widowControl/>
              <w:spacing w:beforeLines="0" w:afterLines="0"/>
              <w:jc w:val="center"/>
              <w:rPr>
                <w:rFonts w:hint="default" w:ascii="仿宋" w:hAnsi="仿宋" w:eastAsia="仿宋" w:cs="Times New Roman"/>
                <w:color w:val="auto"/>
                <w:kern w:val="0"/>
                <w:sz w:val="24"/>
                <w:szCs w:val="24"/>
                <w:lang w:val="en-US" w:eastAsia="zh-CN" w:bidi="ar-SA"/>
              </w:rPr>
            </w:pPr>
            <w:r>
              <w:rPr>
                <w:rFonts w:hint="eastAsia" w:ascii="仿宋" w:hAnsi="仿宋" w:eastAsia="仿宋"/>
                <w:color w:val="auto"/>
                <w:kern w:val="0"/>
                <w:sz w:val="24"/>
                <w:szCs w:val="24"/>
              </w:rPr>
              <w:t>44</w:t>
            </w:r>
          </w:p>
        </w:tc>
        <w:tc>
          <w:tcPr>
            <w:tcW w:w="865" w:type="dxa"/>
            <w:vAlign w:val="center"/>
          </w:tcPr>
          <w:p>
            <w:pPr>
              <w:widowControl/>
              <w:spacing w:beforeLines="0" w:afterLines="0"/>
              <w:jc w:val="center"/>
              <w:rPr>
                <w:rFonts w:hint="default" w:ascii="仿宋" w:hAnsi="仿宋" w:eastAsia="仿宋" w:cs="Times New Roman"/>
                <w:color w:val="auto"/>
                <w:kern w:val="0"/>
                <w:sz w:val="24"/>
                <w:szCs w:val="24"/>
                <w:lang w:val="en-US" w:eastAsia="zh-CN" w:bidi="ar-SA"/>
              </w:rPr>
            </w:pPr>
            <w:r>
              <w:rPr>
                <w:rFonts w:hint="eastAsia" w:ascii="仿宋" w:hAnsi="仿宋" w:eastAsia="仿宋"/>
                <w:color w:val="auto"/>
                <w:kern w:val="0"/>
                <w:sz w:val="24"/>
                <w:szCs w:val="24"/>
              </w:rPr>
              <w:t>23.9</w:t>
            </w:r>
          </w:p>
        </w:tc>
        <w:tc>
          <w:tcPr>
            <w:tcW w:w="865" w:type="dxa"/>
            <w:vAlign w:val="center"/>
          </w:tcPr>
          <w:p>
            <w:pPr>
              <w:widowControl/>
              <w:spacing w:beforeLines="0" w:afterLines="0"/>
              <w:jc w:val="center"/>
              <w:rPr>
                <w:rFonts w:hint="default" w:ascii="仿宋" w:hAnsi="仿宋" w:eastAsia="仿宋" w:cs="Times New Roman"/>
                <w:color w:val="auto"/>
                <w:kern w:val="0"/>
                <w:sz w:val="24"/>
                <w:szCs w:val="24"/>
                <w:lang w:val="en-US" w:eastAsia="zh-CN" w:bidi="ar-SA"/>
              </w:rPr>
            </w:pPr>
            <w:r>
              <w:rPr>
                <w:rFonts w:hint="eastAsia" w:ascii="仿宋" w:hAnsi="仿宋" w:eastAsia="仿宋"/>
                <w:color w:val="auto"/>
                <w:kern w:val="0"/>
                <w:sz w:val="24"/>
                <w:szCs w:val="24"/>
              </w:rPr>
              <w:t>60</w:t>
            </w:r>
          </w:p>
        </w:tc>
        <w:tc>
          <w:tcPr>
            <w:tcW w:w="865" w:type="dxa"/>
            <w:vAlign w:val="top"/>
          </w:tcPr>
          <w:p>
            <w:pPr>
              <w:widowControl/>
              <w:spacing w:beforeLines="0" w:afterLines="0"/>
              <w:rPr>
                <w:rFonts w:hint="default" w:ascii="仿宋" w:hAnsi="仿宋" w:eastAsia="仿宋" w:cs="Arial"/>
                <w:color w:val="auto"/>
                <w:spacing w:val="-2"/>
                <w:kern w:val="2"/>
                <w:position w:val="-2"/>
                <w:sz w:val="24"/>
                <w:szCs w:val="24"/>
                <w:lang w:val="en-US" w:eastAsia="zh-CN" w:bidi="ar-SA"/>
              </w:rPr>
            </w:pPr>
            <w:r>
              <w:rPr>
                <w:rFonts w:hint="eastAsia" w:ascii="仿宋" w:hAnsi="仿宋" w:eastAsia="仿宋" w:cs="Arial"/>
                <w:color w:val="auto"/>
                <w:spacing w:val="-2"/>
                <w:position w:val="-2"/>
                <w:sz w:val="24"/>
                <w:szCs w:val="24"/>
              </w:rPr>
              <w:t>32.6</w:t>
            </w:r>
          </w:p>
        </w:tc>
        <w:tc>
          <w:tcPr>
            <w:tcW w:w="865" w:type="dxa"/>
            <w:vAlign w:val="top"/>
          </w:tcPr>
          <w:p>
            <w:pPr>
              <w:widowControl/>
              <w:spacing w:beforeLines="0" w:afterLines="0"/>
              <w:rPr>
                <w:rFonts w:hint="default" w:ascii="仿宋" w:hAnsi="仿宋" w:eastAsia="仿宋" w:cs="Arial"/>
                <w:color w:val="auto"/>
                <w:spacing w:val="-2"/>
                <w:kern w:val="2"/>
                <w:position w:val="-2"/>
                <w:sz w:val="24"/>
                <w:szCs w:val="24"/>
                <w:lang w:val="en-US" w:eastAsia="zh-CN" w:bidi="ar-SA"/>
              </w:rPr>
            </w:pPr>
            <w:r>
              <w:rPr>
                <w:rFonts w:hint="eastAsia" w:ascii="仿宋" w:hAnsi="仿宋" w:eastAsia="仿宋" w:cs="Arial"/>
                <w:color w:val="auto"/>
                <w:spacing w:val="-2"/>
                <w:position w:val="-2"/>
                <w:sz w:val="24"/>
                <w:szCs w:val="24"/>
              </w:rPr>
              <w:t>58</w:t>
            </w:r>
          </w:p>
        </w:tc>
        <w:tc>
          <w:tcPr>
            <w:tcW w:w="865" w:type="dxa"/>
            <w:vAlign w:val="top"/>
          </w:tcPr>
          <w:p>
            <w:pPr>
              <w:widowControl/>
              <w:spacing w:beforeLines="0" w:afterLines="0"/>
              <w:rPr>
                <w:rFonts w:hint="default" w:ascii="仿宋" w:hAnsi="仿宋" w:eastAsia="仿宋" w:cs="Arial"/>
                <w:color w:val="auto"/>
                <w:spacing w:val="-2"/>
                <w:kern w:val="2"/>
                <w:position w:val="-2"/>
                <w:sz w:val="24"/>
                <w:szCs w:val="24"/>
                <w:lang w:val="en-US" w:eastAsia="zh-CN" w:bidi="ar-SA"/>
              </w:rPr>
            </w:pPr>
            <w:r>
              <w:rPr>
                <w:rFonts w:hint="eastAsia" w:ascii="仿宋" w:hAnsi="仿宋" w:eastAsia="仿宋" w:cs="Arial"/>
                <w:color w:val="auto"/>
                <w:spacing w:val="-2"/>
                <w:position w:val="-2"/>
                <w:sz w:val="24"/>
                <w:szCs w:val="24"/>
              </w:rPr>
              <w:t>31.5</w:t>
            </w:r>
          </w:p>
        </w:tc>
        <w:tc>
          <w:tcPr>
            <w:tcW w:w="865" w:type="dxa"/>
            <w:vAlign w:val="top"/>
          </w:tcPr>
          <w:p>
            <w:pPr>
              <w:widowControl/>
              <w:spacing w:beforeLines="0" w:afterLines="0"/>
              <w:rPr>
                <w:rFonts w:hint="default" w:ascii="仿宋" w:hAnsi="仿宋" w:eastAsia="仿宋" w:cs="Arial"/>
                <w:color w:val="auto"/>
                <w:spacing w:val="-2"/>
                <w:kern w:val="2"/>
                <w:position w:val="-2"/>
                <w:sz w:val="24"/>
                <w:szCs w:val="24"/>
                <w:lang w:val="en-US" w:eastAsia="zh-CN" w:bidi="ar-SA"/>
              </w:rPr>
            </w:pPr>
            <w:r>
              <w:rPr>
                <w:rFonts w:hint="eastAsia" w:ascii="仿宋" w:hAnsi="仿宋" w:eastAsia="仿宋" w:cs="Arial"/>
                <w:color w:val="auto"/>
                <w:spacing w:val="-2"/>
                <w:position w:val="-2"/>
                <w:sz w:val="24"/>
                <w:szCs w:val="24"/>
              </w:rPr>
              <w:t>22</w:t>
            </w:r>
          </w:p>
        </w:tc>
        <w:tc>
          <w:tcPr>
            <w:tcW w:w="865" w:type="dxa"/>
            <w:vAlign w:val="top"/>
          </w:tcPr>
          <w:p>
            <w:pPr>
              <w:widowControl/>
              <w:spacing w:beforeLines="0" w:afterLines="0"/>
              <w:rPr>
                <w:rFonts w:hint="default" w:ascii="仿宋" w:hAnsi="仿宋" w:eastAsia="仿宋" w:cs="Arial"/>
                <w:color w:val="auto"/>
                <w:spacing w:val="-2"/>
                <w:kern w:val="2"/>
                <w:position w:val="-2"/>
                <w:sz w:val="24"/>
                <w:szCs w:val="24"/>
                <w:lang w:val="en-US" w:eastAsia="zh-CN" w:bidi="ar-SA"/>
              </w:rPr>
            </w:pPr>
            <w:r>
              <w:rPr>
                <w:rFonts w:hint="eastAsia" w:ascii="仿宋" w:hAnsi="仿宋" w:eastAsia="仿宋" w:cs="Arial"/>
                <w:color w:val="auto"/>
                <w:spacing w:val="-2"/>
                <w:position w:val="-2"/>
                <w:sz w:val="24"/>
                <w:szCs w:val="24"/>
              </w:rPr>
              <w:t>12.0</w:t>
            </w:r>
          </w:p>
        </w:tc>
      </w:tr>
    </w:tbl>
    <w:p>
      <w:pPr>
        <w:widowControl/>
        <w:shd w:val="clear" w:color="auto" w:fill="FFFFFF"/>
        <w:spacing w:line="440" w:lineRule="exact"/>
        <w:ind w:firstLine="482" w:firstLineChars="200"/>
        <w:rPr>
          <w:rFonts w:hint="eastAsia" w:asciiTheme="minorEastAsia" w:hAnsiTheme="minorEastAsia" w:eastAsiaTheme="minorEastAsia"/>
          <w:b/>
          <w:sz w:val="24"/>
          <w:szCs w:val="32"/>
        </w:rPr>
      </w:pPr>
    </w:p>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1.4信息化建设</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本年度建立了校园数字化平台，公共办公系统、学生管理、资源库已经启用。学校把校内所有教室原有的投影设备，全部更换为75吋智能交互一体机，与互联网接通，无线网络全覆盖，初步实现在线教学与学习。购置了影音后期制作设备及软件</w:t>
      </w:r>
      <w:r>
        <w:rPr>
          <w:rFonts w:hint="eastAsia" w:asciiTheme="minorEastAsia" w:hAnsiTheme="minorEastAsia" w:eastAsiaTheme="minorEastAsia"/>
          <w:sz w:val="24"/>
          <w:szCs w:val="32"/>
          <w:lang w:eastAsia="zh-CN"/>
        </w:rPr>
        <w:t>，建有亚卓教育德育课程资源库，师生可以在线进行教学和学习</w:t>
      </w:r>
      <w:r>
        <w:rPr>
          <w:rFonts w:hint="eastAsia" w:asciiTheme="minorEastAsia" w:hAnsiTheme="minorEastAsia" w:eastAsiaTheme="minorEastAsia"/>
          <w:sz w:val="24"/>
          <w:szCs w:val="32"/>
        </w:rPr>
        <w:t>。将信息技术与项目化教学、情景式教学、案例教学等相结合，实施差异化教学，促进个性化学习，加强过程性评价和动态及时反馈，形成新的教学模式，开发融媒体教材等信息化教学资源，促进自主发展、个性化学习。运用互联网等信息技术支持学校和企业之间、学校指导教师和企业指导教师之间、学校指导教师和学生之间的信息沟通，跟踪和管理学生的实习过程，为学生提供自主学习资源、远程学习支持与辅导答疑。充分发挥信息技术的优势，促进信息技术与职业教育教学的深度融合，提高学校师生员工的信息技术职业素养，创新教育教学模式，提高教学质量，再造管理与服务流程，提升校园信息化条件下文化生活品质。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年校园信息化建设情况统计表1-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 xml:space="preserve">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年校园信息化建设情况统计表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序号</w:t>
            </w:r>
          </w:p>
        </w:tc>
        <w:tc>
          <w:tcPr>
            <w:tcW w:w="4680" w:type="dxa"/>
            <w:shd w:val="clear" w:color="auto" w:fill="5B9BD5" w:themeFill="accent1"/>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指标</w:t>
            </w:r>
          </w:p>
        </w:tc>
        <w:tc>
          <w:tcPr>
            <w:tcW w:w="1620" w:type="dxa"/>
            <w:shd w:val="clear" w:color="auto" w:fill="5B9BD5" w:themeFill="accent1"/>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394" w:type="dxa"/>
            <w:shd w:val="clear" w:color="auto" w:fill="5B9BD5" w:themeFill="accent1"/>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1</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出口总带宽（）</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300</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2</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校园网主干最大（）</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100</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3</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服务器台数（个）</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4</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4</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网络多媒体教室数（个）</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6</w:t>
            </w:r>
            <w:r>
              <w:rPr>
                <w:rFonts w:ascii="仿宋" w:hAnsi="仿宋" w:eastAsia="仿宋"/>
                <w:sz w:val="24"/>
                <w:szCs w:val="32"/>
              </w:rPr>
              <w:t>3</w:t>
            </w:r>
          </w:p>
        </w:tc>
        <w:tc>
          <w:tcPr>
            <w:tcW w:w="1394" w:type="dxa"/>
            <w:vAlign w:val="center"/>
          </w:tcPr>
          <w:p>
            <w:pPr>
              <w:widowControl/>
              <w:spacing w:beforeLines="0" w:afterLines="0"/>
              <w:jc w:val="center"/>
              <w:rPr>
                <w:rFonts w:hint="eastAsia" w:ascii="仿宋" w:hAnsi="仿宋" w:eastAsia="仿宋" w:cs="Times New Roman"/>
                <w:color w:val="auto"/>
                <w:kern w:val="2"/>
                <w:sz w:val="24"/>
                <w:szCs w:val="32"/>
                <w:lang w:val="en-US" w:eastAsia="zh-CN" w:bidi="ar-SA"/>
              </w:rPr>
            </w:pPr>
            <w:r>
              <w:rPr>
                <w:rFonts w:hint="eastAsia" w:ascii="仿宋" w:hAnsi="仿宋" w:eastAsia="仿宋"/>
                <w:color w:val="auto"/>
                <w:sz w:val="24"/>
                <w:szCs w:val="32"/>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5</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教学用计算机数量（台）</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537</w:t>
            </w:r>
          </w:p>
        </w:tc>
        <w:tc>
          <w:tcPr>
            <w:tcW w:w="1394" w:type="dxa"/>
            <w:vAlign w:val="center"/>
          </w:tcPr>
          <w:p>
            <w:pPr>
              <w:widowControl/>
              <w:spacing w:beforeLines="0" w:afterLines="0"/>
              <w:jc w:val="center"/>
              <w:rPr>
                <w:rFonts w:hint="eastAsia" w:ascii="仿宋" w:hAnsi="仿宋" w:eastAsia="仿宋" w:cs="Times New Roman"/>
                <w:color w:val="auto"/>
                <w:kern w:val="2"/>
                <w:sz w:val="24"/>
                <w:szCs w:val="32"/>
                <w:lang w:val="en-US" w:eastAsia="zh-CN" w:bidi="ar-SA"/>
              </w:rPr>
            </w:pPr>
            <w:r>
              <w:rPr>
                <w:rFonts w:hint="eastAsia" w:ascii="仿宋" w:hAnsi="仿宋" w:eastAsia="仿宋"/>
                <w:color w:val="auto"/>
                <w:sz w:val="24"/>
                <w:szCs w:val="32"/>
              </w:rPr>
              <w:t>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6</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生均教学用计算机数量（台/100）</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29</w:t>
            </w:r>
          </w:p>
        </w:tc>
        <w:tc>
          <w:tcPr>
            <w:tcW w:w="1394" w:type="dxa"/>
            <w:vAlign w:val="center"/>
          </w:tcPr>
          <w:p>
            <w:pPr>
              <w:widowControl/>
              <w:spacing w:beforeLines="0" w:afterLines="0"/>
              <w:jc w:val="center"/>
              <w:rPr>
                <w:rFonts w:hint="eastAsia" w:ascii="仿宋" w:hAnsi="仿宋" w:eastAsia="仿宋" w:cs="Times New Roman"/>
                <w:color w:val="auto"/>
                <w:kern w:val="2"/>
                <w:sz w:val="24"/>
                <w:szCs w:val="32"/>
                <w:lang w:val="en-US" w:eastAsia="zh-CN" w:bidi="ar-SA"/>
              </w:rPr>
            </w:pPr>
            <w:r>
              <w:rPr>
                <w:rFonts w:hint="eastAsia" w:ascii="仿宋" w:hAnsi="仿宋" w:eastAsia="仿宋"/>
                <w:color w:val="auto"/>
                <w:sz w:val="24"/>
                <w:szCs w:val="32"/>
              </w:rPr>
              <w:t>26</w:t>
            </w:r>
          </w:p>
        </w:tc>
      </w:tr>
    </w:tbl>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rPr>
      </w:pPr>
    </w:p>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lang w:val="en-US" w:eastAsia="zh-CN"/>
        </w:rPr>
      </w:pPr>
      <w:r>
        <w:rPr>
          <w:rFonts w:hint="eastAsia" w:cs="Arial" w:asciiTheme="minorEastAsia" w:hAnsiTheme="minorEastAsia" w:eastAsiaTheme="minorEastAsia"/>
          <w:b/>
          <w:spacing w:val="-2"/>
          <w:position w:val="-2"/>
          <w:sz w:val="24"/>
        </w:rPr>
        <w:t>1.</w:t>
      </w:r>
      <w:r>
        <w:rPr>
          <w:rFonts w:hint="eastAsia" w:cs="Arial" w:asciiTheme="minorEastAsia" w:hAnsiTheme="minorEastAsia" w:eastAsiaTheme="minorEastAsia"/>
          <w:b/>
          <w:spacing w:val="-2"/>
          <w:position w:val="-2"/>
          <w:sz w:val="24"/>
          <w:lang w:val="en-US" w:eastAsia="zh-CN"/>
        </w:rPr>
        <w:t>5 实训基地建设</w:t>
      </w:r>
    </w:p>
    <w:p>
      <w:pPr>
        <w:widowControl/>
        <w:shd w:val="clear" w:color="auto" w:fill="FFFFFF"/>
        <w:spacing w:line="440" w:lineRule="exact"/>
        <w:ind w:firstLine="474" w:firstLineChars="200"/>
        <w:rPr>
          <w:rFonts w:hint="eastAsia" w:cs="Arial" w:asciiTheme="minorEastAsia" w:hAnsiTheme="minorEastAsia" w:eastAsiaTheme="minorEastAsia"/>
          <w:b/>
          <w:bCs w:val="0"/>
          <w:spacing w:val="-2"/>
          <w:position w:val="-2"/>
          <w:sz w:val="24"/>
          <w:lang w:val="en-US" w:eastAsia="zh-CN"/>
        </w:rPr>
      </w:pPr>
      <w:r>
        <w:rPr>
          <w:rFonts w:hint="eastAsia" w:cs="Arial" w:asciiTheme="minorEastAsia" w:hAnsiTheme="minorEastAsia" w:eastAsiaTheme="minorEastAsia"/>
          <w:b/>
          <w:bCs w:val="0"/>
          <w:spacing w:val="-2"/>
          <w:position w:val="-2"/>
          <w:sz w:val="24"/>
          <w:lang w:val="en-US" w:eastAsia="zh-CN"/>
        </w:rPr>
        <w:t>1.5.1校内实训基地建设</w:t>
      </w:r>
    </w:p>
    <w:p>
      <w:pPr>
        <w:widowControl/>
        <w:shd w:val="clear" w:color="auto" w:fill="FFFFFF"/>
        <w:spacing w:line="440" w:lineRule="exact"/>
        <w:ind w:firstLine="472" w:firstLineChars="200"/>
        <w:rPr>
          <w:rFonts w:hint="eastAsia" w:cs="Arial" w:asciiTheme="minorEastAsia" w:hAnsiTheme="minorEastAsia" w:eastAsiaTheme="minorEastAsia"/>
          <w:b w:val="0"/>
          <w:bCs/>
          <w:spacing w:val="-2"/>
          <w:position w:val="-2"/>
          <w:sz w:val="24"/>
          <w:lang w:val="en-US" w:eastAsia="zh-CN"/>
        </w:rPr>
      </w:pPr>
      <w:r>
        <w:rPr>
          <w:rFonts w:hint="eastAsia" w:cs="Arial" w:asciiTheme="minorEastAsia" w:hAnsiTheme="minorEastAsia" w:eastAsiaTheme="minorEastAsia"/>
          <w:b w:val="0"/>
          <w:bCs/>
          <w:spacing w:val="-2"/>
          <w:position w:val="-2"/>
          <w:sz w:val="24"/>
          <w:lang w:val="en-US" w:eastAsia="zh-CN"/>
        </w:rPr>
        <w:t>推动学校建好用好各类实训基地，加强实践性教学，强化学生实习实训，优质专业实践性教学学时原则上占总学时数达到相关规定要求。进一步建立和完善校企深度融合工作机制，“引企驻校”、“校企一体”，建立健全了校企合作制度和工作流程，积极推进现代学徒制试点工作，进一步优化“校企一体、双元育人”的人才培养模式。引进海尔智能家电科技有限公司入校，对方投入资金200万元、校方投入401万元用于建设“物联网技术应用”实训基地，建成智能家居实训室4个；引进赤峰老字号“内蒙古草原宴宾楼食品有限公司”进校，投资600万元用于实习宾馆装修改造，校企共建中餐烹饪和高星级饭店运营与管理专业实训基地；引进北空通用航空科技有限公司进校联合建设无人机实训基地，校方投入资金176万元建成无人机操控与维护实习实训室2个，校企共建“无人机操控与修护专业”；引进春蕾幼教机构进校开办普惠幼儿园，共建学前教育专业，对方投资310万元用于幼儿园教学楼改造、2020年9月正式开园，现在园幼儿232人。</w:t>
      </w:r>
    </w:p>
    <w:p>
      <w:pPr>
        <w:widowControl/>
        <w:shd w:val="clear" w:color="auto" w:fill="FFFFFF"/>
        <w:spacing w:line="440" w:lineRule="exact"/>
        <w:ind w:firstLine="474" w:firstLineChars="200"/>
        <w:rPr>
          <w:rFonts w:hint="eastAsia" w:cs="Arial" w:asciiTheme="minorEastAsia" w:hAnsiTheme="minorEastAsia" w:eastAsiaTheme="minorEastAsia"/>
          <w:b/>
          <w:bCs w:val="0"/>
          <w:spacing w:val="-2"/>
          <w:position w:val="-2"/>
          <w:sz w:val="24"/>
          <w:lang w:val="en-US" w:eastAsia="zh-CN"/>
        </w:rPr>
      </w:pPr>
      <w:r>
        <w:rPr>
          <w:rFonts w:hint="eastAsia" w:cs="Arial" w:asciiTheme="minorEastAsia" w:hAnsiTheme="minorEastAsia" w:eastAsiaTheme="minorEastAsia"/>
          <w:b/>
          <w:bCs w:val="0"/>
          <w:spacing w:val="-2"/>
          <w:position w:val="-2"/>
          <w:sz w:val="24"/>
          <w:lang w:val="en-US" w:eastAsia="zh-CN"/>
        </w:rPr>
        <w:t>1.5.2校外实训基地建设</w:t>
      </w:r>
    </w:p>
    <w:p>
      <w:pPr>
        <w:widowControl/>
        <w:shd w:val="clear" w:color="auto" w:fill="FFFFFF"/>
        <w:spacing w:line="440" w:lineRule="exact"/>
        <w:ind w:firstLine="472" w:firstLineChars="200"/>
        <w:rPr>
          <w:rFonts w:hint="default" w:cs="Arial" w:asciiTheme="minorEastAsia" w:hAnsiTheme="minorEastAsia" w:eastAsiaTheme="minorEastAsia"/>
          <w:b w:val="0"/>
          <w:bCs/>
          <w:spacing w:val="-2"/>
          <w:position w:val="-2"/>
          <w:sz w:val="24"/>
          <w:lang w:val="en-US" w:eastAsia="zh-CN"/>
        </w:rPr>
      </w:pPr>
      <w:r>
        <w:rPr>
          <w:rFonts w:hint="eastAsia" w:cs="Arial" w:asciiTheme="minorEastAsia" w:hAnsiTheme="minorEastAsia" w:eastAsiaTheme="minorEastAsia"/>
          <w:b w:val="0"/>
          <w:bCs/>
          <w:spacing w:val="-2"/>
          <w:position w:val="-2"/>
          <w:sz w:val="24"/>
          <w:lang w:val="en-US" w:eastAsia="zh-CN"/>
        </w:rPr>
        <w:t>学校实习处统一管理校外实习课教学，实行备案制。进一步完善学生实习管理制度，对校外实习学生严格管理，严格控制学生申请自主实习的审批。落实学校、实习单位、家庭三方责任，确保学生实习务实、安全、有序。扎实做好实习学生心理健康教育、职业生涯教育和实习就业跟踪服务工作。认真组织学生进行</w:t>
      </w:r>
      <w:r>
        <w:rPr>
          <w:rFonts w:hint="default" w:cs="Arial" w:asciiTheme="minorEastAsia" w:hAnsiTheme="minorEastAsia" w:eastAsiaTheme="minorEastAsia"/>
          <w:b w:val="0"/>
          <w:bCs/>
          <w:spacing w:val="-2"/>
          <w:position w:val="-2"/>
          <w:sz w:val="24"/>
          <w:lang w:val="en-US" w:eastAsia="zh-CN"/>
        </w:rPr>
        <w:t>认知实习、跟岗实习、顶岗实习等多种实习方式，强化以育人为目标的实习实训考核评价，学生顶岗实习时间一般为6个月，根据专业实际，集中或分阶段安排。</w:t>
      </w:r>
      <w:r>
        <w:rPr>
          <w:rFonts w:hint="eastAsia" w:cs="Arial" w:asciiTheme="minorEastAsia" w:hAnsiTheme="minorEastAsia" w:eastAsiaTheme="minorEastAsia"/>
          <w:b w:val="0"/>
          <w:bCs/>
          <w:spacing w:val="-2"/>
          <w:position w:val="-2"/>
          <w:sz w:val="24"/>
          <w:lang w:val="en-US" w:eastAsia="zh-CN"/>
        </w:rPr>
        <w:t>校外实训基地较上年增加了3个，详见 2020-2021年分专业校外实训基地情况统计表1-10</w:t>
      </w:r>
    </w:p>
    <w:p>
      <w:pPr>
        <w:widowControl/>
        <w:shd w:val="clear" w:color="auto" w:fill="FFFFFF"/>
        <w:ind w:firstLine="472" w:firstLineChars="200"/>
        <w:jc w:val="center"/>
        <w:rPr>
          <w:rFonts w:hint="eastAsia" w:ascii="宋体" w:hAnsi="宋体" w:eastAsia="宋体" w:cs="宋体"/>
          <w:spacing w:val="-2"/>
          <w:kern w:val="0"/>
          <w:position w:val="-2"/>
          <w:sz w:val="24"/>
        </w:rPr>
      </w:pPr>
      <w:r>
        <w:rPr>
          <w:rFonts w:hint="eastAsia" w:ascii="宋体" w:hAnsi="宋体" w:eastAsia="宋体" w:cs="宋体"/>
          <w:spacing w:val="-2"/>
          <w:kern w:val="0"/>
          <w:position w:val="-2"/>
          <w:sz w:val="24"/>
        </w:rPr>
        <w:t>表</w:t>
      </w:r>
      <w:r>
        <w:rPr>
          <w:rFonts w:hint="eastAsia" w:ascii="宋体" w:hAnsi="宋体" w:eastAsia="宋体" w:cs="宋体"/>
          <w:spacing w:val="-2"/>
          <w:kern w:val="0"/>
          <w:position w:val="-2"/>
          <w:sz w:val="24"/>
          <w:lang w:val="en-US" w:eastAsia="zh-CN"/>
        </w:rPr>
        <w:t>1</w:t>
      </w:r>
      <w:r>
        <w:rPr>
          <w:rFonts w:hint="eastAsia" w:ascii="宋体" w:hAnsi="宋体" w:eastAsia="宋体" w:cs="宋体"/>
          <w:spacing w:val="-2"/>
          <w:kern w:val="0"/>
          <w:position w:val="-2"/>
          <w:sz w:val="24"/>
        </w:rPr>
        <w:t>-</w:t>
      </w:r>
      <w:r>
        <w:rPr>
          <w:rFonts w:hint="eastAsia" w:ascii="宋体" w:hAnsi="宋体" w:eastAsia="宋体" w:cs="宋体"/>
          <w:spacing w:val="-2"/>
          <w:kern w:val="0"/>
          <w:position w:val="-2"/>
          <w:sz w:val="24"/>
          <w:lang w:val="en-US" w:eastAsia="zh-CN"/>
        </w:rPr>
        <w:t xml:space="preserve">10 </w:t>
      </w:r>
      <w:r>
        <w:rPr>
          <w:rFonts w:hint="eastAsia" w:ascii="宋体" w:hAnsi="宋体" w:eastAsia="宋体" w:cs="宋体"/>
          <w:spacing w:val="-2"/>
          <w:kern w:val="0"/>
          <w:position w:val="-2"/>
          <w:sz w:val="24"/>
        </w:rPr>
        <w:t xml:space="preserve"> 20</w:t>
      </w:r>
      <w:r>
        <w:rPr>
          <w:rFonts w:hint="eastAsia" w:ascii="宋体" w:hAnsi="宋体" w:eastAsia="宋体" w:cs="宋体"/>
          <w:spacing w:val="-2"/>
          <w:kern w:val="0"/>
          <w:position w:val="-2"/>
          <w:sz w:val="24"/>
          <w:lang w:val="en-US" w:eastAsia="zh-CN"/>
        </w:rPr>
        <w:t>20</w:t>
      </w:r>
      <w:r>
        <w:rPr>
          <w:rFonts w:hint="eastAsia" w:ascii="宋体" w:hAnsi="宋体" w:eastAsia="宋体" w:cs="宋体"/>
          <w:spacing w:val="-2"/>
          <w:kern w:val="0"/>
          <w:position w:val="-2"/>
          <w:sz w:val="24"/>
        </w:rPr>
        <w:t>-20</w:t>
      </w:r>
      <w:r>
        <w:rPr>
          <w:rFonts w:hint="eastAsia" w:ascii="宋体" w:hAnsi="宋体" w:eastAsia="宋体" w:cs="宋体"/>
          <w:spacing w:val="-2"/>
          <w:kern w:val="0"/>
          <w:position w:val="-2"/>
          <w:sz w:val="24"/>
          <w:lang w:val="en-US" w:eastAsia="zh-CN"/>
        </w:rPr>
        <w:t>21</w:t>
      </w:r>
      <w:r>
        <w:rPr>
          <w:rFonts w:hint="eastAsia" w:ascii="宋体" w:hAnsi="宋体" w:eastAsia="宋体" w:cs="宋体"/>
          <w:spacing w:val="-2"/>
          <w:kern w:val="0"/>
          <w:position w:val="-2"/>
          <w:sz w:val="24"/>
        </w:rPr>
        <w:t>年分专业校外实训基地情况统计表</w:t>
      </w:r>
    </w:p>
    <w:tbl>
      <w:tblPr>
        <w:tblStyle w:val="10"/>
        <w:tblW w:w="8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510"/>
        <w:gridCol w:w="615"/>
        <w:gridCol w:w="1920"/>
        <w:gridCol w:w="1101"/>
        <w:gridCol w:w="2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9"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年号</w:t>
            </w:r>
          </w:p>
        </w:tc>
        <w:tc>
          <w:tcPr>
            <w:tcW w:w="1510"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专业大类</w:t>
            </w:r>
          </w:p>
        </w:tc>
        <w:tc>
          <w:tcPr>
            <w:tcW w:w="615"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序号</w:t>
            </w:r>
          </w:p>
        </w:tc>
        <w:tc>
          <w:tcPr>
            <w:tcW w:w="1920"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专业名称</w:t>
            </w:r>
          </w:p>
        </w:tc>
        <w:tc>
          <w:tcPr>
            <w:tcW w:w="1101"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校外实训基地数量</w:t>
            </w:r>
          </w:p>
        </w:tc>
        <w:tc>
          <w:tcPr>
            <w:tcW w:w="2789"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lang w:eastAsia="zh-CN"/>
              </w:rPr>
              <w:t>主要</w:t>
            </w:r>
            <w:r>
              <w:rPr>
                <w:rFonts w:hint="eastAsia" w:asciiTheme="majorEastAsia" w:hAnsiTheme="majorEastAsia" w:eastAsiaTheme="majorEastAsia"/>
              </w:rPr>
              <w:t>实训基地名称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asciiTheme="majorEastAsia" w:hAnsiTheme="majorEastAsia" w:eastAsiaTheme="majorEastAsia"/>
                <w:spacing w:val="-2"/>
                <w:kern w:val="0"/>
                <w:position w:val="-2"/>
              </w:rPr>
              <w:t>20</w:t>
            </w:r>
            <w:r>
              <w:rPr>
                <w:rFonts w:hint="eastAsia" w:asciiTheme="majorEastAsia" w:hAnsiTheme="majorEastAsia" w:eastAsiaTheme="majorEastAsia"/>
                <w:spacing w:val="-2"/>
                <w:kern w:val="0"/>
                <w:position w:val="-2"/>
                <w:lang w:val="en-US" w:eastAsia="zh-CN"/>
              </w:rPr>
              <w:t>20</w:t>
            </w: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旅游</w:t>
            </w:r>
          </w:p>
        </w:tc>
        <w:tc>
          <w:tcPr>
            <w:tcW w:w="615" w:type="dxa"/>
            <w:tcBorders>
              <w:bottom w:val="single" w:color="auto" w:sz="4" w:space="0"/>
            </w:tcBorders>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1</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sz w:val="16"/>
                <w:szCs w:val="16"/>
                <w:lang w:eastAsia="zh-CN"/>
              </w:rPr>
              <w:t>高星级饭店运营与管理</w:t>
            </w:r>
          </w:p>
        </w:tc>
        <w:tc>
          <w:tcPr>
            <w:tcW w:w="1101" w:type="dxa"/>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6</w:t>
            </w:r>
          </w:p>
        </w:tc>
        <w:tc>
          <w:tcPr>
            <w:tcW w:w="2789" w:type="dxa"/>
            <w:vAlign w:val="center"/>
          </w:tcPr>
          <w:p>
            <w:pPr>
              <w:widowControl/>
              <w:shd w:val="clear" w:color="auto" w:fill="FFFFFF"/>
              <w:jc w:val="left"/>
              <w:rPr>
                <w:rFonts w:hint="default" w:cs="Times New Roman" w:asciiTheme="majorEastAsia" w:hAnsiTheme="majorEastAsia" w:eastAsiaTheme="majorEastAsia"/>
                <w:spacing w:val="-2"/>
                <w:kern w:val="0"/>
                <w:position w:val="-2"/>
                <w:sz w:val="21"/>
                <w:szCs w:val="21"/>
                <w:lang w:val="en-US" w:eastAsia="zh-CN" w:bidi="ar-SA"/>
              </w:rPr>
            </w:pPr>
            <w:r>
              <w:rPr>
                <w:rFonts w:asciiTheme="majorEastAsia" w:hAnsiTheme="majorEastAsia" w:eastAsiaTheme="majorEastAsia"/>
                <w:spacing w:val="-2"/>
                <w:kern w:val="0"/>
                <w:position w:val="-2"/>
              </w:rPr>
              <w:t>上海东湖集团</w:t>
            </w:r>
            <w:r>
              <w:rPr>
                <w:rFonts w:hint="eastAsia" w:asciiTheme="majorEastAsia" w:hAnsiTheme="majorEastAsia" w:eastAsiaTheme="majorEastAsia"/>
                <w:spacing w:val="-2"/>
                <w:kern w:val="0"/>
                <w:position w:val="-2"/>
                <w:lang w:eastAsia="zh-CN"/>
              </w:rPr>
              <w:t>旗下</w:t>
            </w:r>
            <w:r>
              <w:rPr>
                <w:rFonts w:hint="eastAsia" w:asciiTheme="majorEastAsia" w:hAnsiTheme="majorEastAsia" w:eastAsiaTheme="majorEastAsia"/>
                <w:spacing w:val="-2"/>
                <w:kern w:val="0"/>
                <w:position w:val="-2"/>
                <w:lang w:val="en-US" w:eastAsia="zh-CN"/>
              </w:rPr>
              <w:t>宾馆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tcBorders>
              <w:top w:val="single" w:color="auto" w:sz="4" w:space="0"/>
            </w:tcBorders>
            <w:vAlign w:val="center"/>
          </w:tcPr>
          <w:p>
            <w:pPr>
              <w:widowControl/>
              <w:shd w:val="clear" w:color="auto" w:fill="FFFFFF"/>
              <w:jc w:val="center"/>
              <w:rPr>
                <w:rFonts w:hint="eastAsia"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2</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中餐烹饪</w:t>
            </w:r>
          </w:p>
        </w:tc>
        <w:tc>
          <w:tcPr>
            <w:tcW w:w="1101" w:type="dxa"/>
            <w:vAlign w:val="center"/>
          </w:tcPr>
          <w:p>
            <w:pPr>
              <w:widowControl/>
              <w:shd w:val="clear" w:color="auto" w:fill="FFFFFF"/>
              <w:jc w:val="center"/>
              <w:rPr>
                <w:rFonts w:hint="eastAsia"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8</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hint="eastAsia" w:asciiTheme="majorEastAsia" w:hAnsiTheme="majorEastAsia" w:eastAsiaTheme="majorEastAsia"/>
                <w:spacing w:val="-2"/>
                <w:kern w:val="0"/>
                <w:position w:val="-2"/>
                <w:lang w:eastAsia="zh-CN"/>
              </w:rPr>
              <w:t>赤峰富力</w:t>
            </w:r>
            <w:r>
              <w:rPr>
                <w:rFonts w:asciiTheme="majorEastAsia" w:hAnsiTheme="majorEastAsia" w:eastAsiaTheme="majorEastAsia"/>
                <w:spacing w:val="-2"/>
                <w:kern w:val="0"/>
                <w:position w:val="-2"/>
              </w:rPr>
              <w:t>万达嘉华酒店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asciiTheme="majorEastAsia" w:hAnsiTheme="majorEastAsia" w:eastAsiaTheme="majorEastAsia"/>
                <w:spacing w:val="-2"/>
                <w:kern w:val="0"/>
                <w:position w:val="-2"/>
              </w:rPr>
              <w:t>教育</w:t>
            </w:r>
            <w:r>
              <w:rPr>
                <w:rFonts w:hint="eastAsia" w:asciiTheme="majorEastAsia" w:hAnsiTheme="majorEastAsia" w:eastAsiaTheme="majorEastAsia"/>
                <w:spacing w:val="-2"/>
                <w:kern w:val="0"/>
                <w:position w:val="-2"/>
                <w:lang w:eastAsia="zh-CN"/>
              </w:rPr>
              <w:t>与体育</w:t>
            </w:r>
          </w:p>
        </w:tc>
        <w:tc>
          <w:tcPr>
            <w:tcW w:w="615" w:type="dxa"/>
            <w:vMerge w:val="restart"/>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3</w:t>
            </w:r>
          </w:p>
        </w:tc>
        <w:tc>
          <w:tcPr>
            <w:tcW w:w="192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学前教育</w:t>
            </w:r>
          </w:p>
        </w:tc>
        <w:tc>
          <w:tcPr>
            <w:tcW w:w="1101"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18</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hint="eastAsia" w:asciiTheme="majorEastAsia" w:hAnsiTheme="majorEastAsia" w:eastAsiaTheme="majorEastAsia"/>
                <w:spacing w:val="-2"/>
                <w:kern w:val="0"/>
                <w:position w:val="-2"/>
                <w:lang w:eastAsia="zh-CN"/>
              </w:rPr>
              <w:t>赤峰松山区</w:t>
            </w:r>
            <w:r>
              <w:rPr>
                <w:rFonts w:asciiTheme="majorEastAsia" w:hAnsiTheme="majorEastAsia" w:eastAsiaTheme="majorEastAsia"/>
                <w:spacing w:val="-2"/>
                <w:kern w:val="0"/>
                <w:position w:val="-2"/>
              </w:rPr>
              <w:t>中天幼教集团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sz w:val="21"/>
                <w:szCs w:val="21"/>
              </w:rPr>
            </w:pPr>
          </w:p>
        </w:tc>
        <w:tc>
          <w:tcPr>
            <w:tcW w:w="1920"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18</w:t>
            </w:r>
          </w:p>
        </w:tc>
        <w:tc>
          <w:tcPr>
            <w:tcW w:w="2789" w:type="dxa"/>
            <w:vAlign w:val="center"/>
          </w:tcPr>
          <w:p>
            <w:pPr>
              <w:widowControl/>
              <w:shd w:val="clear" w:color="auto" w:fill="FFFFFF"/>
              <w:jc w:val="left"/>
              <w:rPr>
                <w:rFonts w:hint="default" w:cs="Times New Roman" w:asciiTheme="majorEastAsia" w:hAnsiTheme="majorEastAsia" w:eastAsiaTheme="majorEastAsia"/>
                <w:spacing w:val="-2"/>
                <w:kern w:val="0"/>
                <w:position w:val="-2"/>
                <w:sz w:val="21"/>
                <w:szCs w:val="21"/>
                <w:lang w:val="en-US" w:eastAsia="zh-CN" w:bidi="ar-SA"/>
              </w:rPr>
            </w:pPr>
            <w:r>
              <w:rPr>
                <w:rFonts w:hint="eastAsia" w:asciiTheme="majorEastAsia" w:hAnsiTheme="majorEastAsia" w:eastAsiaTheme="majorEastAsia"/>
                <w:spacing w:val="-2"/>
                <w:kern w:val="0"/>
                <w:position w:val="-2"/>
                <w:lang w:val="en-US" w:eastAsia="zh-CN"/>
              </w:rPr>
              <w:t>赤峰一职附属幼儿园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sz w:val="18"/>
                <w:szCs w:val="18"/>
                <w:lang w:eastAsia="zh-CN"/>
              </w:rPr>
              <w:t>食品药品与粮食</w:t>
            </w:r>
          </w:p>
        </w:tc>
        <w:tc>
          <w:tcPr>
            <w:tcW w:w="615" w:type="dxa"/>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4</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制药设备维修</w:t>
            </w:r>
          </w:p>
        </w:tc>
        <w:tc>
          <w:tcPr>
            <w:tcW w:w="1101" w:type="dxa"/>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11</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asciiTheme="majorEastAsia" w:hAnsiTheme="majorEastAsia" w:eastAsiaTheme="majorEastAsia"/>
                <w:spacing w:val="-2"/>
                <w:kern w:val="0"/>
                <w:position w:val="-2"/>
                <w:sz w:val="18"/>
                <w:szCs w:val="18"/>
              </w:rPr>
              <w:t>赤峰</w:t>
            </w:r>
            <w:r>
              <w:rPr>
                <w:rFonts w:hint="eastAsia" w:asciiTheme="majorEastAsia" w:hAnsiTheme="majorEastAsia" w:eastAsiaTheme="majorEastAsia"/>
                <w:spacing w:val="-2"/>
                <w:kern w:val="0"/>
                <w:position w:val="-2"/>
                <w:sz w:val="18"/>
                <w:szCs w:val="18"/>
                <w:lang w:eastAsia="zh-CN"/>
              </w:rPr>
              <w:t>高新技术园区</w:t>
            </w:r>
            <w:r>
              <w:rPr>
                <w:rFonts w:asciiTheme="majorEastAsia" w:hAnsiTheme="majorEastAsia" w:eastAsiaTheme="majorEastAsia"/>
                <w:spacing w:val="-2"/>
                <w:kern w:val="0"/>
                <w:position w:val="-2"/>
                <w:sz w:val="18"/>
                <w:szCs w:val="18"/>
              </w:rPr>
              <w:t>医药产业园区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船舶与海洋工程装备</w:t>
            </w:r>
          </w:p>
        </w:tc>
        <w:tc>
          <w:tcPr>
            <w:tcW w:w="615" w:type="dxa"/>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5</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无人机操控与维护</w:t>
            </w:r>
          </w:p>
        </w:tc>
        <w:tc>
          <w:tcPr>
            <w:tcW w:w="1101" w:type="dxa"/>
            <w:vAlign w:val="center"/>
          </w:tcPr>
          <w:p>
            <w:pPr>
              <w:widowControl/>
              <w:shd w:val="clear" w:color="auto" w:fill="FFFFFF"/>
              <w:jc w:val="center"/>
              <w:rPr>
                <w:rFonts w:hint="eastAsia" w:cs="Times New Roman" w:asciiTheme="majorEastAsia" w:hAnsiTheme="majorEastAsia" w:eastAsiaTheme="majorEastAsia"/>
                <w:spacing w:val="-2"/>
                <w:kern w:val="0"/>
                <w:position w:val="-2"/>
                <w:sz w:val="21"/>
                <w:szCs w:val="21"/>
                <w:lang w:val="en-US" w:eastAsia="zh-CN" w:bidi="ar-SA"/>
              </w:rPr>
            </w:pPr>
            <w:r>
              <w:rPr>
                <w:rFonts w:hint="eastAsia" w:asciiTheme="majorEastAsia" w:hAnsiTheme="majorEastAsia" w:eastAsiaTheme="majorEastAsia"/>
                <w:spacing w:val="-2"/>
                <w:kern w:val="0"/>
                <w:position w:val="-2"/>
                <w:lang w:val="en-US" w:eastAsia="zh-CN"/>
              </w:rPr>
              <w:t>1</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asciiTheme="majorEastAsia" w:hAnsiTheme="majorEastAsia" w:eastAsiaTheme="majorEastAsia"/>
                <w:bCs/>
                <w:spacing w:val="-2"/>
                <w:kern w:val="0"/>
                <w:position w:val="-2"/>
              </w:rPr>
              <w:t>北空通用航空科技有限公司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lang w:eastAsia="zh-CN"/>
              </w:rPr>
              <w:t>电子与</w:t>
            </w:r>
            <w:r>
              <w:rPr>
                <w:rFonts w:asciiTheme="majorEastAsia" w:hAnsiTheme="majorEastAsia" w:eastAsiaTheme="majorEastAsia"/>
                <w:spacing w:val="-2"/>
                <w:kern w:val="0"/>
                <w:position w:val="-2"/>
              </w:rPr>
              <w:t>信息</w:t>
            </w:r>
          </w:p>
        </w:tc>
        <w:tc>
          <w:tcPr>
            <w:tcW w:w="615" w:type="dxa"/>
            <w:tcBorders>
              <w:bottom w:val="single" w:color="auto" w:sz="4" w:space="0"/>
            </w:tcBorders>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6</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lang w:eastAsia="zh-CN"/>
              </w:rPr>
              <w:t>物联网技术</w:t>
            </w:r>
            <w:r>
              <w:rPr>
                <w:rFonts w:hint="eastAsia" w:asciiTheme="majorEastAsia" w:hAnsiTheme="majorEastAsia" w:eastAsiaTheme="majorEastAsia"/>
                <w:spacing w:val="-2"/>
                <w:kern w:val="0"/>
                <w:position w:val="-2"/>
              </w:rPr>
              <w:t>应用</w:t>
            </w:r>
          </w:p>
        </w:tc>
        <w:tc>
          <w:tcPr>
            <w:tcW w:w="1101" w:type="dxa"/>
            <w:vAlign w:val="center"/>
          </w:tcPr>
          <w:p>
            <w:pPr>
              <w:widowControl/>
              <w:shd w:val="clear" w:color="auto" w:fill="FFFFFF"/>
              <w:jc w:val="center"/>
              <w:rPr>
                <w:rFonts w:hint="eastAsia"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3</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asciiTheme="majorEastAsia" w:hAnsiTheme="majorEastAsia" w:eastAsiaTheme="majorEastAsia"/>
                <w:spacing w:val="-2"/>
                <w:kern w:val="0"/>
                <w:position w:val="-2"/>
              </w:rPr>
              <w:t>海尔智能家居科技有限公司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tcBorders>
              <w:top w:val="single" w:color="auto" w:sz="4" w:space="0"/>
            </w:tcBorders>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7</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计算机应用</w:t>
            </w:r>
          </w:p>
        </w:tc>
        <w:tc>
          <w:tcPr>
            <w:tcW w:w="1101" w:type="dxa"/>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3</w:t>
            </w:r>
          </w:p>
        </w:tc>
        <w:tc>
          <w:tcPr>
            <w:tcW w:w="2789" w:type="dxa"/>
            <w:vAlign w:val="center"/>
          </w:tcPr>
          <w:p>
            <w:pPr>
              <w:widowControl/>
              <w:shd w:val="clear" w:color="auto" w:fill="FFFFFF"/>
              <w:jc w:val="left"/>
              <w:rPr>
                <w:rFonts w:cs="Times New Roman" w:asciiTheme="majorEastAsia" w:hAnsiTheme="majorEastAsia" w:eastAsiaTheme="majorEastAsia"/>
                <w:spacing w:val="-2"/>
                <w:kern w:val="0"/>
                <w:position w:val="-2"/>
                <w:sz w:val="21"/>
                <w:szCs w:val="21"/>
                <w:lang w:val="en-US" w:eastAsia="zh-CN" w:bidi="ar-SA"/>
              </w:rPr>
            </w:pPr>
            <w:r>
              <w:rPr>
                <w:rFonts w:hint="eastAsia" w:cs="Times New Roman" w:asciiTheme="majorEastAsia" w:hAnsiTheme="majorEastAsia" w:eastAsiaTheme="majorEastAsia"/>
                <w:spacing w:val="-2"/>
                <w:kern w:val="0"/>
                <w:position w:val="-2"/>
                <w:sz w:val="21"/>
                <w:szCs w:val="21"/>
                <w:lang w:val="en-US" w:eastAsia="zh-CN" w:bidi="ar-SA"/>
              </w:rPr>
              <w:t>赤峰昭乌达电脑城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asciiTheme="majorEastAsia" w:hAnsiTheme="majorEastAsia" w:eastAsiaTheme="majorEastAsia"/>
                <w:spacing w:val="-2"/>
                <w:kern w:val="0"/>
                <w:position w:val="-2"/>
              </w:rPr>
              <w:t>20</w:t>
            </w:r>
            <w:r>
              <w:rPr>
                <w:rFonts w:hint="eastAsia" w:asciiTheme="majorEastAsia" w:hAnsiTheme="majorEastAsia" w:eastAsiaTheme="majorEastAsia"/>
                <w:spacing w:val="-2"/>
                <w:kern w:val="0"/>
                <w:position w:val="-2"/>
                <w:lang w:val="en-US" w:eastAsia="zh-CN"/>
              </w:rPr>
              <w:t>21</w:t>
            </w: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旅游</w:t>
            </w:r>
          </w:p>
        </w:tc>
        <w:tc>
          <w:tcPr>
            <w:tcW w:w="615" w:type="dxa"/>
            <w:vMerge w:val="restart"/>
            <w:vAlign w:val="center"/>
          </w:tcPr>
          <w:p>
            <w:pPr>
              <w:widowControl/>
              <w:shd w:val="clear" w:color="auto" w:fill="FFFFFF"/>
              <w:jc w:val="center"/>
              <w:rPr>
                <w:rFonts w:asciiTheme="majorEastAsia" w:hAnsiTheme="majorEastAsia" w:eastAsiaTheme="majorEastAsia"/>
                <w:spacing w:val="-2"/>
                <w:kern w:val="0"/>
                <w:position w:val="-2"/>
                <w:sz w:val="21"/>
                <w:szCs w:val="21"/>
              </w:rPr>
            </w:pPr>
            <w:r>
              <w:rPr>
                <w:rFonts w:hint="eastAsia" w:asciiTheme="majorEastAsia" w:hAnsiTheme="majorEastAsia" w:eastAsiaTheme="majorEastAsia"/>
                <w:spacing w:val="-2"/>
                <w:kern w:val="0"/>
                <w:position w:val="-2"/>
                <w:sz w:val="21"/>
                <w:szCs w:val="21"/>
                <w:lang w:val="en-US" w:eastAsia="zh-CN"/>
              </w:rPr>
              <w:t>1</w:t>
            </w:r>
          </w:p>
        </w:tc>
        <w:tc>
          <w:tcPr>
            <w:tcW w:w="1920" w:type="dxa"/>
            <w:vMerge w:val="restart"/>
            <w:vAlign w:val="center"/>
          </w:tcPr>
          <w:p>
            <w:pPr>
              <w:widowControl/>
              <w:shd w:val="clear" w:color="auto" w:fill="FFFFFF"/>
              <w:ind w:firstLine="412" w:firstLineChars="200"/>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高星级饭店</w:t>
            </w:r>
          </w:p>
          <w:p>
            <w:pPr>
              <w:widowControl/>
              <w:shd w:val="clear" w:color="auto" w:fill="FFFFFF"/>
              <w:ind w:firstLine="412" w:firstLineChars="200"/>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运营与管理</w:t>
            </w:r>
          </w:p>
        </w:tc>
        <w:tc>
          <w:tcPr>
            <w:tcW w:w="1101"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10</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上海东湖集团旗下宾馆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asciiTheme="majorEastAsia" w:hAnsiTheme="majorEastAsia" w:eastAsiaTheme="majorEastAsia"/>
                <w:spacing w:val="-2"/>
                <w:kern w:val="0"/>
                <w:position w:val="-2"/>
                <w:sz w:val="21"/>
                <w:szCs w:val="21"/>
              </w:rPr>
            </w:pPr>
          </w:p>
        </w:tc>
        <w:tc>
          <w:tcPr>
            <w:tcW w:w="192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10</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呼市、包头香格里拉饭店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restart"/>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2</w:t>
            </w:r>
          </w:p>
        </w:tc>
        <w:tc>
          <w:tcPr>
            <w:tcW w:w="1920" w:type="dxa"/>
            <w:vMerge w:val="restart"/>
            <w:vAlign w:val="center"/>
          </w:tcPr>
          <w:p>
            <w:pPr>
              <w:widowControl/>
              <w:shd w:val="clear" w:color="auto" w:fill="FFFFFF"/>
              <w:jc w:val="center"/>
              <w:rPr>
                <w:rFonts w:hint="eastAsia"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中餐烹饪</w:t>
            </w:r>
          </w:p>
        </w:tc>
        <w:tc>
          <w:tcPr>
            <w:tcW w:w="1101"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10</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赤峰富力万达嘉华酒店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sz w:val="21"/>
                <w:szCs w:val="21"/>
                <w:lang w:val="en-US" w:eastAsia="zh-CN"/>
              </w:rPr>
            </w:pPr>
          </w:p>
        </w:tc>
        <w:tc>
          <w:tcPr>
            <w:tcW w:w="1920"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赤峰玉龙国宾馆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asciiTheme="majorEastAsia" w:hAnsiTheme="majorEastAsia" w:eastAsiaTheme="majorEastAsia"/>
                <w:spacing w:val="-2"/>
                <w:kern w:val="0"/>
                <w:position w:val="-2"/>
              </w:rPr>
              <w:t>教育</w:t>
            </w:r>
            <w:r>
              <w:rPr>
                <w:rFonts w:hint="eastAsia" w:asciiTheme="majorEastAsia" w:hAnsiTheme="majorEastAsia" w:eastAsiaTheme="majorEastAsia"/>
                <w:spacing w:val="-2"/>
                <w:kern w:val="0"/>
                <w:position w:val="-2"/>
                <w:lang w:eastAsia="zh-CN"/>
              </w:rPr>
              <w:t>与体育</w:t>
            </w:r>
          </w:p>
        </w:tc>
        <w:tc>
          <w:tcPr>
            <w:tcW w:w="615" w:type="dxa"/>
            <w:vMerge w:val="restart"/>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3</w:t>
            </w:r>
          </w:p>
        </w:tc>
        <w:tc>
          <w:tcPr>
            <w:tcW w:w="192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学前教育</w:t>
            </w:r>
          </w:p>
        </w:tc>
        <w:tc>
          <w:tcPr>
            <w:tcW w:w="1101"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21</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红山区教育局所属幼儿园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sz w:val="21"/>
                <w:szCs w:val="21"/>
              </w:rPr>
            </w:pPr>
          </w:p>
        </w:tc>
        <w:tc>
          <w:tcPr>
            <w:tcW w:w="1920"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2789" w:type="dxa"/>
            <w:vAlign w:val="center"/>
          </w:tcPr>
          <w:p>
            <w:pPr>
              <w:widowControl/>
              <w:shd w:val="clear" w:color="auto" w:fill="FFFFFF"/>
              <w:jc w:val="left"/>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赤峰一职附属幼儿园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sz w:val="21"/>
                <w:szCs w:val="21"/>
              </w:rPr>
            </w:pPr>
          </w:p>
        </w:tc>
        <w:tc>
          <w:tcPr>
            <w:tcW w:w="1920"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2789" w:type="dxa"/>
            <w:vAlign w:val="center"/>
          </w:tcPr>
          <w:p>
            <w:pPr>
              <w:widowControl/>
              <w:shd w:val="clear" w:color="auto" w:fill="FFFFFF"/>
              <w:jc w:val="left"/>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赤峰松山区中天幼教集团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sz w:val="18"/>
                <w:szCs w:val="18"/>
                <w:lang w:eastAsia="zh-CN"/>
              </w:rPr>
              <w:t>食品药品与粮食</w:t>
            </w:r>
          </w:p>
        </w:tc>
        <w:tc>
          <w:tcPr>
            <w:tcW w:w="615" w:type="dxa"/>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4</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rPr>
              <w:t>制药</w:t>
            </w:r>
            <w:r>
              <w:rPr>
                <w:rFonts w:hint="eastAsia" w:asciiTheme="majorEastAsia" w:hAnsiTheme="majorEastAsia" w:eastAsiaTheme="majorEastAsia"/>
                <w:spacing w:val="-2"/>
                <w:kern w:val="0"/>
                <w:position w:val="-2"/>
                <w:lang w:eastAsia="zh-CN"/>
              </w:rPr>
              <w:t>设备维修</w:t>
            </w:r>
          </w:p>
        </w:tc>
        <w:tc>
          <w:tcPr>
            <w:tcW w:w="1101" w:type="dxa"/>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12</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sz w:val="20"/>
                <w:szCs w:val="20"/>
                <w:lang w:eastAsia="zh-CN"/>
              </w:rPr>
              <w:t>赤峰高新技术园区医药产业园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船舶与海洋工程装备</w:t>
            </w:r>
          </w:p>
        </w:tc>
        <w:tc>
          <w:tcPr>
            <w:tcW w:w="615" w:type="dxa"/>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5</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无人机操控与维护</w:t>
            </w:r>
          </w:p>
        </w:tc>
        <w:tc>
          <w:tcPr>
            <w:tcW w:w="1101" w:type="dxa"/>
            <w:vAlign w:val="center"/>
          </w:tcPr>
          <w:p>
            <w:pPr>
              <w:widowControl/>
              <w:shd w:val="clear" w:color="auto" w:fill="FFFFFF"/>
              <w:jc w:val="center"/>
              <w:rPr>
                <w:rFonts w:hint="eastAsia"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1</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北空通用航空科技有限公司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lang w:eastAsia="zh-CN"/>
              </w:rPr>
              <w:t>电子与信息</w:t>
            </w:r>
          </w:p>
        </w:tc>
        <w:tc>
          <w:tcPr>
            <w:tcW w:w="615" w:type="dxa"/>
            <w:tcBorders>
              <w:bottom w:val="single" w:color="auto" w:sz="4" w:space="0"/>
            </w:tcBorders>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6</w:t>
            </w:r>
          </w:p>
        </w:tc>
        <w:tc>
          <w:tcPr>
            <w:tcW w:w="1920" w:type="dxa"/>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物联网技术应用</w:t>
            </w:r>
          </w:p>
        </w:tc>
        <w:tc>
          <w:tcPr>
            <w:tcW w:w="1101" w:type="dxa"/>
            <w:vAlign w:val="center"/>
          </w:tcPr>
          <w:p>
            <w:pPr>
              <w:widowControl/>
              <w:shd w:val="clear" w:color="auto" w:fill="FFFFFF"/>
              <w:jc w:val="center"/>
              <w:rPr>
                <w:rFonts w:hint="eastAsia"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3</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海尔智能家居科技有限公司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restart"/>
            <w:tcBorders>
              <w:top w:val="single" w:color="auto" w:sz="4" w:space="0"/>
            </w:tcBorders>
            <w:vAlign w:val="center"/>
          </w:tcPr>
          <w:p>
            <w:pPr>
              <w:widowControl/>
              <w:shd w:val="clear" w:color="auto" w:fill="FFFFFF"/>
              <w:jc w:val="center"/>
              <w:rPr>
                <w:rFonts w:hint="default" w:asciiTheme="majorEastAsia" w:hAnsiTheme="majorEastAsia" w:eastAsiaTheme="majorEastAsia"/>
                <w:spacing w:val="-2"/>
                <w:kern w:val="0"/>
                <w:position w:val="-2"/>
                <w:sz w:val="21"/>
                <w:szCs w:val="21"/>
                <w:lang w:val="en-US" w:eastAsia="zh-CN"/>
              </w:rPr>
            </w:pPr>
            <w:r>
              <w:rPr>
                <w:rFonts w:hint="eastAsia" w:asciiTheme="majorEastAsia" w:hAnsiTheme="majorEastAsia" w:eastAsiaTheme="majorEastAsia"/>
                <w:spacing w:val="-2"/>
                <w:kern w:val="0"/>
                <w:position w:val="-2"/>
                <w:sz w:val="21"/>
                <w:szCs w:val="21"/>
                <w:lang w:val="en-US" w:eastAsia="zh-CN"/>
              </w:rPr>
              <w:t>7</w:t>
            </w:r>
          </w:p>
        </w:tc>
        <w:tc>
          <w:tcPr>
            <w:tcW w:w="192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计算机应用</w:t>
            </w:r>
          </w:p>
        </w:tc>
        <w:tc>
          <w:tcPr>
            <w:tcW w:w="1101"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3</w:t>
            </w: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赤峰昭乌达电脑城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p>
        </w:tc>
        <w:tc>
          <w:tcPr>
            <w:tcW w:w="192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lang w:val="en-US" w:eastAsia="zh-CN"/>
              </w:rPr>
            </w:pPr>
          </w:p>
        </w:tc>
        <w:tc>
          <w:tcPr>
            <w:tcW w:w="2789" w:type="dxa"/>
            <w:vAlign w:val="center"/>
          </w:tcPr>
          <w:p>
            <w:pPr>
              <w:widowControl/>
              <w:shd w:val="clear" w:color="auto" w:fill="FFFFFF"/>
              <w:jc w:val="left"/>
              <w:rPr>
                <w:rFonts w:hint="eastAsia" w:asciiTheme="majorEastAsia" w:hAnsiTheme="majorEastAsia" w:eastAsiaTheme="majorEastAsia"/>
                <w:spacing w:val="-2"/>
                <w:kern w:val="0"/>
                <w:position w:val="-2"/>
                <w:lang w:eastAsia="zh-CN"/>
              </w:rPr>
            </w:pPr>
            <w:r>
              <w:rPr>
                <w:rFonts w:hint="eastAsia" w:asciiTheme="majorEastAsia" w:hAnsiTheme="majorEastAsia" w:eastAsiaTheme="majorEastAsia"/>
                <w:spacing w:val="-2"/>
                <w:kern w:val="0"/>
                <w:position w:val="-2"/>
                <w:lang w:eastAsia="zh-CN"/>
              </w:rPr>
              <w:t>赤峰市红山区云计算中心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4" w:type="dxa"/>
            <w:gridSpan w:val="4"/>
            <w:vAlign w:val="center"/>
          </w:tcPr>
          <w:p>
            <w:pPr>
              <w:widowControl/>
              <w:shd w:val="clear" w:color="auto" w:fill="FFFFFF"/>
              <w:jc w:val="center"/>
              <w:rPr>
                <w:rFonts w:hint="eastAsia" w:asciiTheme="majorEastAsia" w:hAnsiTheme="majorEastAsia" w:eastAsiaTheme="majorEastAsia"/>
                <w:b/>
                <w:bCs/>
                <w:spacing w:val="-2"/>
                <w:kern w:val="0"/>
                <w:position w:val="-2"/>
                <w:lang w:eastAsia="zh-CN"/>
              </w:rPr>
            </w:pPr>
            <w:r>
              <w:rPr>
                <w:rFonts w:hint="eastAsia" w:asciiTheme="majorEastAsia" w:hAnsiTheme="majorEastAsia" w:eastAsiaTheme="majorEastAsia"/>
                <w:b/>
                <w:bCs/>
                <w:spacing w:val="-2"/>
                <w:kern w:val="0"/>
                <w:position w:val="-2"/>
                <w:lang w:eastAsia="zh-CN"/>
              </w:rPr>
              <w:t>合计</w:t>
            </w:r>
          </w:p>
        </w:tc>
        <w:tc>
          <w:tcPr>
            <w:tcW w:w="3890" w:type="dxa"/>
            <w:gridSpan w:val="2"/>
            <w:vAlign w:val="center"/>
          </w:tcPr>
          <w:p>
            <w:pPr>
              <w:widowControl/>
              <w:shd w:val="clear" w:color="auto" w:fill="FFFFFF"/>
              <w:jc w:val="center"/>
              <w:rPr>
                <w:rFonts w:hint="default" w:asciiTheme="majorEastAsia" w:hAnsiTheme="majorEastAsia" w:eastAsiaTheme="majorEastAsia"/>
                <w:b/>
                <w:bCs/>
                <w:spacing w:val="-2"/>
                <w:kern w:val="0"/>
                <w:position w:val="-2"/>
                <w:lang w:val="en-US" w:eastAsia="zh-CN"/>
              </w:rPr>
            </w:pPr>
            <w:r>
              <w:rPr>
                <w:rFonts w:hint="eastAsia" w:asciiTheme="majorEastAsia" w:hAnsiTheme="majorEastAsia" w:eastAsiaTheme="majorEastAsia"/>
                <w:b/>
                <w:bCs/>
                <w:spacing w:val="-2"/>
                <w:kern w:val="0"/>
                <w:position w:val="-2"/>
                <w:lang w:val="en-US" w:eastAsia="zh-CN"/>
              </w:rPr>
              <w:t>60</w:t>
            </w:r>
          </w:p>
        </w:tc>
      </w:tr>
    </w:tbl>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lang w:val="en-US" w:eastAsia="zh-CN"/>
        </w:rPr>
      </w:pPr>
    </w:p>
    <w:p>
      <w:pPr>
        <w:widowControl/>
        <w:shd w:val="clear" w:color="auto" w:fill="FFFFFF"/>
        <w:spacing w:line="440" w:lineRule="exact"/>
        <w:ind w:firstLine="474" w:firstLineChars="200"/>
        <w:rPr>
          <w:rFonts w:hint="default" w:cs="Arial" w:asciiTheme="minorEastAsia" w:hAnsiTheme="minorEastAsia" w:eastAsiaTheme="minorEastAsia"/>
          <w:b/>
          <w:spacing w:val="-2"/>
          <w:position w:val="-2"/>
          <w:sz w:val="24"/>
          <w:lang w:val="en-US" w:eastAsia="zh-CN"/>
        </w:rPr>
      </w:pPr>
      <w:r>
        <w:rPr>
          <w:rFonts w:hint="eastAsia" w:cs="Arial" w:asciiTheme="minorEastAsia" w:hAnsiTheme="minorEastAsia" w:eastAsiaTheme="minorEastAsia"/>
          <w:b/>
          <w:spacing w:val="-2"/>
          <w:position w:val="-2"/>
          <w:sz w:val="24"/>
          <w:lang w:val="en-US" w:eastAsia="zh-CN"/>
        </w:rPr>
        <w:t>1.6 提质培优任务（项目）建设情况</w:t>
      </w:r>
    </w:p>
    <w:p>
      <w:pPr>
        <w:widowControl/>
        <w:shd w:val="clear" w:color="auto" w:fill="FFFFFF"/>
        <w:spacing w:line="440" w:lineRule="exact"/>
        <w:ind w:firstLine="472" w:firstLineChars="200"/>
        <w:rPr>
          <w:rFonts w:hint="eastAsia" w:cs="Arial" w:asciiTheme="minorEastAsia" w:hAnsiTheme="minorEastAsia" w:eastAsiaTheme="minorEastAsia"/>
          <w:b w:val="0"/>
          <w:bCs/>
          <w:spacing w:val="-2"/>
          <w:position w:val="-2"/>
          <w:sz w:val="24"/>
        </w:rPr>
      </w:pPr>
      <w:r>
        <w:rPr>
          <w:rFonts w:hint="eastAsia" w:cs="Arial" w:asciiTheme="minorEastAsia" w:hAnsiTheme="minorEastAsia" w:eastAsiaTheme="minorEastAsia"/>
          <w:b w:val="0"/>
          <w:bCs/>
          <w:spacing w:val="-2"/>
          <w:position w:val="-2"/>
          <w:sz w:val="24"/>
        </w:rPr>
        <w:t>深入贯彻落实习近平总书记关于职业教育工作的重要指示和全国职业教育大会精神，全面实施《职业教育提质培优行动计划（2020—2023年）》，坚持提质培优、增值赋能，加快推进学校承接的接职业教育提质培优行动计划任务（项目）建设，按计划完成年度建设任务。深化产教融合、校企合作，促进产教融合校企双元育人。继续开展“1+X”证书制度试点，开展高质量职业培训，打造“双师型”教师队伍，实施中国特色现代学徒制，健全内部质量保证体系，不断增强职业教育适应性，推动红山区职业教育高质量发展。</w:t>
      </w:r>
    </w:p>
    <w:p>
      <w:pPr>
        <w:widowControl/>
        <w:shd w:val="clear" w:color="auto" w:fill="FFFFFF"/>
        <w:spacing w:line="440" w:lineRule="exact"/>
        <w:ind w:firstLine="472" w:firstLineChars="200"/>
        <w:rPr>
          <w:rFonts w:hint="eastAsia" w:cs="Arial" w:asciiTheme="minorEastAsia" w:hAnsiTheme="minorEastAsia" w:eastAsiaTheme="minorEastAsia"/>
          <w:b w:val="0"/>
          <w:bCs/>
          <w:spacing w:val="-2"/>
          <w:position w:val="-2"/>
          <w:sz w:val="24"/>
          <w:lang w:val="en-US" w:eastAsia="zh-CN"/>
        </w:rPr>
      </w:pPr>
      <w:r>
        <w:rPr>
          <w:rFonts w:hint="eastAsia" w:cs="Arial" w:asciiTheme="minorEastAsia" w:hAnsiTheme="minorEastAsia" w:eastAsiaTheme="minorEastAsia"/>
          <w:b w:val="0"/>
          <w:bCs/>
          <w:spacing w:val="-2"/>
          <w:position w:val="-2"/>
          <w:sz w:val="24"/>
        </w:rPr>
        <w:t>自2021年开始，</w:t>
      </w:r>
      <w:r>
        <w:rPr>
          <w:rFonts w:hint="eastAsia" w:cs="Arial" w:asciiTheme="minorEastAsia" w:hAnsiTheme="minorEastAsia" w:eastAsiaTheme="minorEastAsia"/>
          <w:b w:val="0"/>
          <w:bCs/>
          <w:spacing w:val="-2"/>
          <w:position w:val="-2"/>
          <w:sz w:val="24"/>
          <w:lang w:eastAsia="zh-CN"/>
        </w:rPr>
        <w:t>拟投入资金</w:t>
      </w:r>
      <w:r>
        <w:rPr>
          <w:rFonts w:hint="eastAsia" w:cs="Arial" w:asciiTheme="minorEastAsia" w:hAnsiTheme="minorEastAsia" w:eastAsiaTheme="minorEastAsia"/>
          <w:b w:val="0"/>
          <w:bCs/>
          <w:spacing w:val="-2"/>
          <w:position w:val="-2"/>
          <w:sz w:val="24"/>
          <w:lang w:val="en-US" w:eastAsia="zh-CN"/>
        </w:rPr>
        <w:t>1949.5万元，</w:t>
      </w:r>
      <w:r>
        <w:rPr>
          <w:rFonts w:hint="eastAsia" w:cs="Arial" w:asciiTheme="minorEastAsia" w:hAnsiTheme="minorEastAsia" w:eastAsiaTheme="minorEastAsia"/>
          <w:b w:val="0"/>
          <w:bCs/>
          <w:spacing w:val="-2"/>
          <w:position w:val="-2"/>
          <w:sz w:val="24"/>
        </w:rPr>
        <w:t>计划用2-3年的时间完成学校所承接的国家提质培优建设项目共9个，其中提质建设项目5个、培优建设项目4个。同时，自治区教育厅又把</w:t>
      </w:r>
      <w:r>
        <w:rPr>
          <w:rFonts w:hint="eastAsia" w:cs="Arial" w:asciiTheme="minorEastAsia" w:hAnsiTheme="minorEastAsia" w:eastAsiaTheme="minorEastAsia"/>
          <w:b w:val="0"/>
          <w:bCs/>
          <w:spacing w:val="-2"/>
          <w:position w:val="-2"/>
          <w:sz w:val="24"/>
          <w:lang w:eastAsia="zh-CN"/>
        </w:rPr>
        <w:t>学校</w:t>
      </w:r>
      <w:r>
        <w:rPr>
          <w:rFonts w:hint="eastAsia" w:cs="Arial" w:asciiTheme="minorEastAsia" w:hAnsiTheme="minorEastAsia" w:eastAsiaTheme="minorEastAsia"/>
          <w:b w:val="0"/>
          <w:bCs/>
          <w:spacing w:val="-2"/>
          <w:position w:val="-2"/>
          <w:sz w:val="24"/>
        </w:rPr>
        <w:t>承接国家《职业教育提质培优行动计划（2020—2023年）》‘遴选1000所左右优质中职学校’、‘遴选3000个左右优质专业’项目建设，确定为内蒙古自治区“双优”建设计划立项建设单位。</w:t>
      </w:r>
      <w:r>
        <w:rPr>
          <w:rFonts w:hint="eastAsia" w:cs="Arial" w:asciiTheme="minorEastAsia" w:hAnsiTheme="minorEastAsia" w:eastAsiaTheme="minorEastAsia"/>
          <w:b w:val="0"/>
          <w:bCs/>
          <w:spacing w:val="-2"/>
          <w:position w:val="-2"/>
          <w:sz w:val="24"/>
          <w:lang w:eastAsia="zh-CN"/>
        </w:rPr>
        <w:t>学校已经编制完成</w:t>
      </w:r>
      <w:r>
        <w:rPr>
          <w:rFonts w:hint="eastAsia" w:cs="Arial" w:asciiTheme="minorEastAsia" w:hAnsiTheme="minorEastAsia" w:eastAsiaTheme="minorEastAsia"/>
          <w:b w:val="0"/>
          <w:bCs/>
          <w:spacing w:val="-2"/>
          <w:position w:val="-2"/>
          <w:sz w:val="24"/>
          <w:lang w:val="en-US" w:eastAsia="zh-CN"/>
        </w:rPr>
        <w:t>9项任务的建设方案和任务书，并提交赤峰市教育局、内蒙古自治区教育厅备案，按照各项目建设进度，逐一落实建设任务。学校通过专题培训、政策解读、媒体推送、印发读本等方式，让全校教职员工了解提质培优政策要求，了解学校所承接的建设项目和任务，熟知各项目建设内容和年度工作任务，熟知学校提质培优工作要做什么（目标）、怎么做（措施）、做成什么（绩效）。要求教职工认真学习研究，领会实质，把握内涵，明晰学校行动路径。对标对表、争先达标，立足本职工作，高标准、高站位、高质量推动各项工作，争取打造更多标志性成果，保质保量完成各项重点任务，全面提质培优，为学校高质量发展增值赋能。</w:t>
      </w:r>
      <w:r>
        <w:rPr>
          <w:rFonts w:hint="eastAsia" w:cs="Arial" w:asciiTheme="minorEastAsia" w:hAnsiTheme="minorEastAsia" w:eastAsiaTheme="minorEastAsia"/>
          <w:b w:val="0"/>
          <w:bCs/>
          <w:spacing w:val="-2"/>
          <w:position w:val="-2"/>
          <w:sz w:val="24"/>
          <w:lang w:eastAsia="zh-CN"/>
        </w:rPr>
        <w:t>详见</w:t>
      </w:r>
      <w:r>
        <w:rPr>
          <w:rFonts w:hint="eastAsia" w:cs="Arial" w:asciiTheme="minorEastAsia" w:hAnsiTheme="minorEastAsia" w:eastAsiaTheme="minorEastAsia"/>
          <w:b w:val="0"/>
          <w:bCs/>
          <w:spacing w:val="-2"/>
          <w:position w:val="-2"/>
          <w:sz w:val="24"/>
          <w:lang w:val="en-US" w:eastAsia="zh-CN"/>
        </w:rPr>
        <w:t>2020-2021年学校承接提质培优任务（项目）表1-11</w:t>
      </w:r>
    </w:p>
    <w:p>
      <w:pPr>
        <w:widowControl/>
        <w:shd w:val="clear" w:color="auto" w:fill="FFFFFF"/>
        <w:ind w:firstLine="472" w:firstLineChars="200"/>
        <w:jc w:val="center"/>
        <w:rPr>
          <w:rFonts w:hint="eastAsia" w:ascii="宋体" w:hAnsi="宋体" w:eastAsia="宋体" w:cs="宋体"/>
          <w:spacing w:val="-2"/>
          <w:kern w:val="0"/>
          <w:position w:val="-2"/>
          <w:sz w:val="24"/>
          <w:lang w:val="en-US" w:eastAsia="zh-CN"/>
        </w:rPr>
      </w:pPr>
    </w:p>
    <w:p>
      <w:pPr>
        <w:widowControl/>
        <w:shd w:val="clear" w:color="auto" w:fill="FFFFFF"/>
        <w:ind w:firstLine="472" w:firstLineChars="200"/>
        <w:jc w:val="center"/>
        <w:rPr>
          <w:rFonts w:hint="eastAsia" w:ascii="宋体" w:hAnsi="宋体" w:eastAsia="宋体" w:cs="宋体"/>
          <w:spacing w:val="-2"/>
          <w:kern w:val="0"/>
          <w:position w:val="-2"/>
          <w:sz w:val="24"/>
          <w:lang w:val="en-US" w:eastAsia="zh-CN"/>
        </w:rPr>
      </w:pPr>
      <w:r>
        <w:rPr>
          <w:rFonts w:hint="eastAsia" w:ascii="宋体" w:hAnsi="宋体" w:eastAsia="宋体" w:cs="宋体"/>
          <w:spacing w:val="-2"/>
          <w:kern w:val="0"/>
          <w:position w:val="-2"/>
          <w:sz w:val="24"/>
          <w:lang w:val="en-US" w:eastAsia="zh-CN"/>
        </w:rPr>
        <w:t>表1-11  2020-2021年学校承接提质培优任务（项目）表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742"/>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742" w:type="dxa"/>
            <w:vAlign w:val="bottom"/>
          </w:tcPr>
          <w:p>
            <w:pPr>
              <w:widowControl/>
              <w:spacing w:line="360" w:lineRule="auto"/>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建设</w:t>
            </w:r>
            <w:r>
              <w:rPr>
                <w:rFonts w:hint="eastAsia" w:ascii="宋体" w:hAnsi="宋体" w:eastAsia="宋体" w:cs="宋体"/>
                <w:b/>
                <w:bCs/>
                <w:sz w:val="24"/>
                <w:szCs w:val="24"/>
                <w:vertAlign w:val="baseline"/>
                <w:lang w:val="en-US" w:eastAsia="zh-CN"/>
              </w:rPr>
              <w:t>项目</w:t>
            </w:r>
          </w:p>
        </w:tc>
        <w:tc>
          <w:tcPr>
            <w:tcW w:w="5065" w:type="dxa"/>
            <w:vAlign w:val="bottom"/>
          </w:tcPr>
          <w:p>
            <w:pPr>
              <w:widowControl/>
              <w:spacing w:line="360" w:lineRule="auto"/>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具体</w:t>
            </w:r>
            <w:r>
              <w:rPr>
                <w:rFonts w:hint="eastAsia" w:ascii="宋体" w:hAnsi="宋体" w:eastAsia="宋体" w:cs="宋体"/>
                <w:b/>
                <w:bCs/>
                <w:sz w:val="24"/>
                <w:szCs w:val="24"/>
                <w:vertAlign w:val="baseline"/>
                <w:lang w:val="en-US" w:eastAsia="zh-CN"/>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落实立德树人根本任务</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培育200所左右“三全育人”典型学校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推进职业教育协调发展</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中职学校教学条件基本达标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推进职业教育协调发展</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遴选1000所左右优质中职学校</w:t>
            </w:r>
            <w:r>
              <w:rPr>
                <w:rFonts w:hint="eastAsia" w:ascii="宋体" w:hAnsi="宋体" w:eastAsia="宋体" w:cs="宋体"/>
                <w:b/>
                <w:bCs/>
                <w:color w:val="000000"/>
                <w:kern w:val="0"/>
                <w:sz w:val="21"/>
                <w:szCs w:val="21"/>
                <w:lang w:val="en-US" w:eastAsia="zh-CN"/>
              </w:rPr>
              <w:t>（自治区“双优”建设计划）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推进职业教育协调发展</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遴选3000个左右优质中职学校专业</w:t>
            </w:r>
            <w:r>
              <w:rPr>
                <w:rFonts w:hint="eastAsia" w:ascii="宋体" w:hAnsi="宋体" w:eastAsia="宋体" w:cs="宋体"/>
                <w:b/>
                <w:bCs/>
                <w:color w:val="000000"/>
                <w:kern w:val="0"/>
                <w:sz w:val="21"/>
                <w:szCs w:val="21"/>
                <w:lang w:val="en-US" w:eastAsia="zh-CN"/>
              </w:rPr>
              <w:t>（自治区“双优”建设计划）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完善服务全民终身学习的制度体系</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推进1+X证书制度试点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实施职业教育“三教”改革攻坚行动</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建立职业学校人才培养方案公开制度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实施职业教育“三教”改革攻坚行动</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建立健全国家、省、校三级教学能力比赛机制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实施职业教育“三教”改革攻坚行动</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遴选10000种左右校企双元合作开发的职业教育规划教材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5" w:type="dxa"/>
            <w:vAlign w:val="center"/>
          </w:tcPr>
          <w:p>
            <w:pPr>
              <w:widowControl/>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2742"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实施职业教育服务国际产能合作行动</w:t>
            </w:r>
          </w:p>
        </w:tc>
        <w:tc>
          <w:tcPr>
            <w:tcW w:w="5065" w:type="dxa"/>
            <w:vAlign w:val="center"/>
          </w:tcPr>
          <w:p>
            <w:pPr>
              <w:keepNext w:val="0"/>
              <w:keepLines w:val="0"/>
              <w:pageBreakBefore w:val="0"/>
              <w:widowControl/>
              <w:kinsoku/>
              <w:wordWrap/>
              <w:overflowPunct/>
              <w:topLinePunct w:val="0"/>
              <w:autoSpaceDE/>
              <w:autoSpaceDN/>
              <w:bidi w:val="0"/>
              <w:adjustRightInd/>
              <w:spacing w:line="240" w:lineRule="exact"/>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统筹利用现有资源，实施“职业院校教师教学创新团队境外培训计划”，选派一大批专业带头人和骨干教师出国研修访学 </w:t>
            </w:r>
          </w:p>
        </w:tc>
      </w:tr>
    </w:tbl>
    <w:p>
      <w:pPr>
        <w:widowControl/>
        <w:shd w:val="clear" w:color="auto" w:fill="FFFFFF"/>
        <w:jc w:val="center"/>
        <w:rPr>
          <w:rFonts w:ascii="仿宋" w:hAnsi="仿宋" w:eastAsia="仿宋"/>
          <w:sz w:val="24"/>
          <w:szCs w:val="32"/>
        </w:rPr>
      </w:pPr>
      <w:r>
        <w:rPr>
          <w:rFonts w:hint="eastAsia" w:ascii="黑体" w:hAnsi="黑体" w:eastAsia="黑体"/>
          <w:spacing w:val="-2"/>
          <w:kern w:val="0"/>
          <w:position w:val="-2"/>
          <w:sz w:val="30"/>
          <w:szCs w:val="30"/>
        </w:rPr>
        <w:t>第二部分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学生发展</w:t>
      </w:r>
    </w:p>
    <w:p>
      <w:pPr>
        <w:widowControl/>
        <w:shd w:val="clear" w:color="auto" w:fill="FFFFFF"/>
        <w:ind w:firstLine="480" w:firstLineChars="200"/>
        <w:rPr>
          <w:rFonts w:ascii="黑体" w:hAnsi="黑体" w:eastAsia="黑体"/>
          <w:sz w:val="24"/>
          <w:szCs w:val="32"/>
        </w:rPr>
      </w:pPr>
      <w:r>
        <w:rPr>
          <w:rFonts w:hint="eastAsia" w:ascii="黑体" w:hAnsi="黑体" w:eastAsia="黑体"/>
          <w:sz w:val="24"/>
          <w:szCs w:val="32"/>
        </w:rPr>
        <w:t>2.1学生素质</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2.1.1学生基本素质评价</w:t>
      </w:r>
    </w:p>
    <w:p>
      <w:pPr>
        <w:widowControl/>
        <w:numPr>
          <w:ilvl w:val="0"/>
          <w:numId w:val="0"/>
        </w:numPr>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坚持立德树人根本任务，紧密结合学校教育工作的意识形态属性，开展丰富多彩的活动，切实加强民族团结进步教育</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铸牢师生的中华民族共同体意识，弘扬中华民族精神。强化教学常规管理，注重学生专业思想教育，不断提高学生学习的积极性，有序开展技能教学，按照人才培养方案开展专业技能训练，学生技能水平得到明显提升，学生中级工考核合格率达9</w:t>
      </w:r>
      <w:r>
        <w:rPr>
          <w:rFonts w:hint="eastAsia" w:cs="Arial" w:asciiTheme="minorEastAsia" w:hAnsiTheme="minorEastAsia" w:eastAsiaTheme="minorEastAsia"/>
          <w:spacing w:val="-2"/>
          <w:position w:val="-2"/>
          <w:sz w:val="24"/>
          <w:lang w:val="en-US" w:eastAsia="zh-CN"/>
        </w:rPr>
        <w:t>8</w:t>
      </w:r>
      <w:r>
        <w:rPr>
          <w:rFonts w:hint="eastAsia" w:cs="Arial" w:asciiTheme="minorEastAsia" w:hAnsiTheme="minorEastAsia" w:eastAsiaTheme="minorEastAsia"/>
          <w:spacing w:val="-2"/>
          <w:position w:val="-2"/>
          <w:sz w:val="24"/>
        </w:rPr>
        <w:t>%。学生在20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年度内蒙古自治区职业</w:t>
      </w:r>
      <w:r>
        <w:rPr>
          <w:rFonts w:hint="eastAsia" w:cs="Arial" w:asciiTheme="minorEastAsia" w:hAnsiTheme="minorEastAsia" w:eastAsiaTheme="minorEastAsia"/>
          <w:spacing w:val="-2"/>
          <w:position w:val="-2"/>
          <w:sz w:val="24"/>
          <w:lang w:val="en-US" w:eastAsia="zh-CN"/>
        </w:rPr>
        <w:t>院校</w:t>
      </w:r>
      <w:r>
        <w:rPr>
          <w:rFonts w:hint="eastAsia" w:cs="Arial" w:asciiTheme="minorEastAsia" w:hAnsiTheme="minorEastAsia" w:eastAsiaTheme="minorEastAsia"/>
          <w:spacing w:val="-2"/>
          <w:position w:val="-2"/>
          <w:sz w:val="24"/>
        </w:rPr>
        <w:t>技能大赛中，</w:t>
      </w:r>
      <w:r>
        <w:rPr>
          <w:rFonts w:hint="eastAsia" w:cs="Arial" w:asciiTheme="minorEastAsia" w:hAnsiTheme="minorEastAsia" w:eastAsiaTheme="minorEastAsia"/>
          <w:spacing w:val="-2"/>
          <w:position w:val="-2"/>
          <w:sz w:val="24"/>
          <w:lang w:val="en-US" w:eastAsia="zh-CN"/>
        </w:rPr>
        <w:t>1</w:t>
      </w:r>
      <w:r>
        <w:rPr>
          <w:rFonts w:hint="eastAsia" w:cs="Arial" w:asciiTheme="minorEastAsia" w:hAnsiTheme="minorEastAsia" w:eastAsiaTheme="minorEastAsia"/>
          <w:spacing w:val="-2"/>
          <w:position w:val="-2"/>
          <w:sz w:val="24"/>
        </w:rPr>
        <w:t>人次获一等奖</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在赤峰市中等职业学校技能大赛中有7项荣获一等奖</w:t>
      </w:r>
      <w:r>
        <w:rPr>
          <w:rFonts w:hint="eastAsia" w:cs="Arial" w:asciiTheme="minorEastAsia" w:hAnsiTheme="minorEastAsia" w:eastAsiaTheme="minorEastAsia"/>
          <w:spacing w:val="-2"/>
          <w:position w:val="-2"/>
          <w:sz w:val="24"/>
        </w:rPr>
        <w:t>。重视体育卫生工作，开齐、开足体育课、艺术修养课，加强学生体质监控，学生体质测评合格率达</w:t>
      </w:r>
      <w:r>
        <w:rPr>
          <w:rFonts w:hint="eastAsia" w:cs="Arial" w:asciiTheme="minorEastAsia" w:hAnsiTheme="minorEastAsia" w:eastAsiaTheme="minorEastAsia"/>
          <w:spacing w:val="-2"/>
          <w:position w:val="-2"/>
          <w:sz w:val="24"/>
          <w:lang w:val="en-US" w:eastAsia="zh-CN"/>
        </w:rPr>
        <w:t>94</w:t>
      </w:r>
      <w:r>
        <w:rPr>
          <w:rFonts w:hint="eastAsia" w:cs="Arial" w:asciiTheme="minorEastAsia" w:hAnsiTheme="minorEastAsia" w:eastAsiaTheme="minorEastAsia"/>
          <w:spacing w:val="-2"/>
          <w:position w:val="-2"/>
          <w:sz w:val="24"/>
        </w:rPr>
        <w:t>%；学生毕业率达100%。</w:t>
      </w:r>
      <w:r>
        <w:rPr>
          <w:rFonts w:hint="eastAsia" w:asciiTheme="minorEastAsia" w:hAnsiTheme="minorEastAsia" w:eastAsiaTheme="minorEastAsia"/>
          <w:sz w:val="24"/>
          <w:szCs w:val="32"/>
        </w:rPr>
        <w:t>对比见20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年学生基本素质评价指标</w:t>
      </w:r>
      <w:r>
        <w:rPr>
          <w:rFonts w:hint="eastAsia" w:cs="Arial" w:asciiTheme="minorEastAsia" w:hAnsiTheme="minorEastAsia" w:eastAsiaTheme="minorEastAsia"/>
          <w:spacing w:val="-2"/>
          <w:position w:val="-2"/>
          <w:sz w:val="24"/>
        </w:rPr>
        <w:t>图</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1。</w:t>
      </w:r>
    </w:p>
    <w:p>
      <w:pPr>
        <w:widowControl/>
        <w:numPr>
          <w:ilvl w:val="0"/>
          <w:numId w:val="0"/>
        </w:numPr>
        <w:shd w:val="clear" w:color="auto" w:fill="FFFFFF"/>
        <w:spacing w:line="440" w:lineRule="exact"/>
        <w:ind w:firstLine="472" w:firstLineChars="200"/>
        <w:jc w:val="center"/>
        <w:rPr>
          <w:rFonts w:hint="eastAsia" w:cs="Arial" w:asciiTheme="minorEastAsia" w:hAnsiTheme="minorEastAsia" w:eastAsiaTheme="minorEastAsia"/>
          <w:spacing w:val="-2"/>
          <w:position w:val="-2"/>
          <w:sz w:val="24"/>
          <w:lang w:val="en-US" w:eastAsia="zh-CN"/>
        </w:rPr>
      </w:pPr>
      <w:r>
        <w:rPr>
          <w:rFonts w:hint="eastAsia" w:cs="Arial" w:asciiTheme="minorEastAsia" w:hAnsiTheme="minorEastAsia" w:eastAsiaTheme="minorEastAsia"/>
          <w:spacing w:val="-2"/>
          <w:position w:val="-2"/>
          <w:sz w:val="24"/>
          <w:lang w:val="en-US" w:eastAsia="zh-CN"/>
        </w:rPr>
        <w:t xml:space="preserve">                                                               </w:t>
      </w:r>
    </w:p>
    <w:p>
      <w:pPr>
        <w:widowControl/>
        <w:shd w:val="clear" w:color="auto" w:fill="FFFFFF"/>
        <w:spacing w:line="440" w:lineRule="exact"/>
        <w:ind w:firstLine="480" w:firstLineChars="200"/>
        <w:rPr>
          <w:rFonts w:hint="default" w:cs="Arial" w:asciiTheme="minorEastAsia" w:hAnsiTheme="minorEastAsia" w:eastAsiaTheme="minorEastAsia"/>
          <w:b/>
          <w:spacing w:val="-2"/>
          <w:position w:val="-2"/>
          <w:sz w:val="24"/>
          <w:u w:val="none"/>
          <w:lang w:val="en-US" w:eastAsia="zh-CN"/>
        </w:rPr>
      </w:pPr>
      <w:r>
        <w:rPr>
          <w:rFonts w:hint="eastAsia" w:asciiTheme="minorEastAsia" w:hAnsiTheme="minorEastAsia" w:eastAsiaTheme="minorEastAsia"/>
          <w:sz w:val="24"/>
          <w:szCs w:val="32"/>
        </w:rPr>
        <w:drawing>
          <wp:anchor distT="0" distB="0" distL="114300" distR="114300" simplePos="0" relativeHeight="251659264" behindDoc="1" locked="0" layoutInCell="1" allowOverlap="1">
            <wp:simplePos x="0" y="0"/>
            <wp:positionH relativeFrom="column">
              <wp:posOffset>18415</wp:posOffset>
            </wp:positionH>
            <wp:positionV relativeFrom="paragraph">
              <wp:posOffset>4445</wp:posOffset>
            </wp:positionV>
            <wp:extent cx="5477510" cy="3124200"/>
            <wp:effectExtent l="4445" t="4445" r="23495" b="71755"/>
            <wp:wrapTight wrapText="bothSides">
              <wp:wrapPolygon>
                <wp:start x="-18" y="-31"/>
                <wp:lineTo x="-18" y="21569"/>
                <wp:lineTo x="21542" y="21569"/>
                <wp:lineTo x="21542" y="-31"/>
                <wp:lineTo x="-18"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heme="minorEastAsia" w:hAnsiTheme="minorEastAsia" w:eastAsiaTheme="minorEastAsia"/>
          <w:b/>
          <w:sz w:val="24"/>
          <w:szCs w:val="24"/>
          <w:u w:val="none"/>
        </w:rPr>
        <w:t>2.1.2学生参加文明风采大赛</w:t>
      </w:r>
      <w:r>
        <w:rPr>
          <w:rFonts w:hint="eastAsia" w:asciiTheme="minorEastAsia" w:hAnsiTheme="minorEastAsia" w:eastAsiaTheme="minorEastAsia"/>
          <w:b/>
          <w:sz w:val="24"/>
          <w:szCs w:val="24"/>
          <w:u w:val="none"/>
          <w:lang w:val="en-US" w:eastAsia="zh-CN"/>
        </w:rPr>
        <w:t>和技能竞赛</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详见20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asciiTheme="minorEastAsia" w:hAnsiTheme="minorEastAsia" w:eastAsiaTheme="minorEastAsia"/>
          <w:sz w:val="24"/>
          <w:szCs w:val="32"/>
        </w:rPr>
        <w:t>年学生参加各级技能竞赛获奖人数</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w:t>
      </w:r>
      <w:r>
        <w:rPr>
          <w:rFonts w:asciiTheme="minorEastAsia" w:hAnsiTheme="minorEastAsia" w:eastAsiaTheme="minorEastAsia"/>
          <w:sz w:val="24"/>
          <w:szCs w:val="32"/>
        </w:rPr>
        <w:t>2</w:t>
      </w:r>
      <w:r>
        <w:rPr>
          <w:rFonts w:hint="eastAsia" w:asciiTheme="minorEastAsia" w:hAnsiTheme="minorEastAsia" w:eastAsiaTheme="minorEastAsia"/>
          <w:sz w:val="24"/>
          <w:szCs w:val="32"/>
        </w:rPr>
        <w:t>-2  20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21</w:t>
      </w:r>
      <w:r>
        <w:rPr>
          <w:rFonts w:hint="eastAsia" w:asciiTheme="minorEastAsia" w:hAnsiTheme="minorEastAsia" w:eastAsiaTheme="minorEastAsia"/>
          <w:sz w:val="24"/>
          <w:szCs w:val="32"/>
        </w:rPr>
        <w:t>年学生参加各级</w:t>
      </w:r>
      <w:r>
        <w:rPr>
          <w:rFonts w:hint="eastAsia" w:cs="Arial" w:asciiTheme="minorEastAsia" w:hAnsiTheme="minorEastAsia" w:eastAsiaTheme="minorEastAsia"/>
          <w:spacing w:val="-2"/>
          <w:position w:val="-2"/>
          <w:sz w:val="24"/>
        </w:rPr>
        <w:t>技能竞</w:t>
      </w:r>
      <w:r>
        <w:rPr>
          <w:rFonts w:hint="eastAsia" w:asciiTheme="minorEastAsia" w:hAnsiTheme="minorEastAsia" w:eastAsiaTheme="minorEastAsia"/>
          <w:sz w:val="24"/>
          <w:szCs w:val="32"/>
        </w:rPr>
        <w:t>赛获奖人数统计表</w:t>
      </w:r>
    </w:p>
    <w:tbl>
      <w:tblPr>
        <w:tblStyle w:val="10"/>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80"/>
        <w:gridCol w:w="1080"/>
        <w:gridCol w:w="1252"/>
        <w:gridCol w:w="1440"/>
        <w:gridCol w:w="144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0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级别</w:t>
            </w:r>
          </w:p>
        </w:tc>
        <w:tc>
          <w:tcPr>
            <w:tcW w:w="10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一等奖</w:t>
            </w:r>
          </w:p>
        </w:tc>
        <w:tc>
          <w:tcPr>
            <w:tcW w:w="1252"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二等奖</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三等奖</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优秀奖</w:t>
            </w:r>
          </w:p>
        </w:tc>
        <w:tc>
          <w:tcPr>
            <w:tcW w:w="167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828" w:type="dxa"/>
            <w:vMerge w:val="restart"/>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08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国家级</w:t>
            </w:r>
          </w:p>
        </w:tc>
        <w:tc>
          <w:tcPr>
            <w:tcW w:w="1080"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0</w:t>
            </w:r>
          </w:p>
        </w:tc>
        <w:tc>
          <w:tcPr>
            <w:tcW w:w="1252" w:type="dxa"/>
            <w:vAlign w:val="top"/>
          </w:tcPr>
          <w:p>
            <w:pPr>
              <w:widowControl/>
              <w:rPr>
                <w:rFonts w:hint="default" w:ascii="仿宋" w:hAnsi="仿宋" w:eastAsia="仿宋" w:cs="Arial"/>
                <w:spacing w:val="-2"/>
                <w:kern w:val="2"/>
                <w:position w:val="-2"/>
                <w:sz w:val="24"/>
                <w:szCs w:val="21"/>
                <w:lang w:val="en-US" w:eastAsia="zh-CN" w:bidi="ar-SA"/>
              </w:rPr>
            </w:pPr>
            <w:r>
              <w:rPr>
                <w:rFonts w:hint="eastAsia" w:ascii="仿宋" w:hAnsi="仿宋" w:eastAsia="仿宋" w:cs="Arial"/>
                <w:spacing w:val="-2"/>
                <w:kern w:val="2"/>
                <w:position w:val="-2"/>
                <w:sz w:val="24"/>
                <w:szCs w:val="21"/>
                <w:lang w:val="en-US" w:eastAsia="zh-CN" w:bidi="ar-SA"/>
              </w:rPr>
              <w:t>0</w:t>
            </w:r>
          </w:p>
        </w:tc>
        <w:tc>
          <w:tcPr>
            <w:tcW w:w="1440" w:type="dxa"/>
            <w:vAlign w:val="top"/>
          </w:tcPr>
          <w:p>
            <w:pPr>
              <w:widowControl/>
              <w:rPr>
                <w:rFonts w:hint="default" w:ascii="仿宋" w:hAnsi="仿宋" w:eastAsia="仿宋" w:cs="Arial"/>
                <w:spacing w:val="-2"/>
                <w:kern w:val="2"/>
                <w:position w:val="-2"/>
                <w:sz w:val="24"/>
                <w:szCs w:val="21"/>
                <w:lang w:val="en-US" w:eastAsia="zh-CN" w:bidi="ar-SA"/>
              </w:rPr>
            </w:pPr>
            <w:r>
              <w:rPr>
                <w:rFonts w:hint="eastAsia" w:ascii="仿宋" w:hAnsi="仿宋" w:eastAsia="仿宋" w:cs="Arial"/>
                <w:spacing w:val="-2"/>
                <w:kern w:val="2"/>
                <w:position w:val="-2"/>
                <w:sz w:val="24"/>
                <w:szCs w:val="21"/>
                <w:lang w:val="en-US" w:eastAsia="zh-CN" w:bidi="ar-SA"/>
              </w:rPr>
              <w:t>0</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  级</w:t>
            </w:r>
          </w:p>
        </w:tc>
        <w:tc>
          <w:tcPr>
            <w:tcW w:w="1080"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1</w:t>
            </w:r>
          </w:p>
        </w:tc>
        <w:tc>
          <w:tcPr>
            <w:tcW w:w="1252"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4</w:t>
            </w:r>
          </w:p>
        </w:tc>
        <w:tc>
          <w:tcPr>
            <w:tcW w:w="1440"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4</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  级</w:t>
            </w:r>
          </w:p>
        </w:tc>
        <w:tc>
          <w:tcPr>
            <w:tcW w:w="1080"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7</w:t>
            </w:r>
          </w:p>
        </w:tc>
        <w:tc>
          <w:tcPr>
            <w:tcW w:w="1252"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7</w:t>
            </w:r>
          </w:p>
        </w:tc>
        <w:tc>
          <w:tcPr>
            <w:tcW w:w="1440" w:type="dxa"/>
            <w:vAlign w:val="top"/>
          </w:tcPr>
          <w:p>
            <w:pPr>
              <w:widowControl/>
              <w:rPr>
                <w:rFonts w:hint="eastAsia"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lang w:val="en-US" w:eastAsia="zh-CN"/>
              </w:rPr>
              <w:t>6</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828" w:type="dxa"/>
            <w:vMerge w:val="restart"/>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108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国家级</w:t>
            </w:r>
          </w:p>
        </w:tc>
        <w:tc>
          <w:tcPr>
            <w:tcW w:w="1080"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0</w:t>
            </w:r>
          </w:p>
        </w:tc>
        <w:tc>
          <w:tcPr>
            <w:tcW w:w="1252"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0</w:t>
            </w:r>
          </w:p>
        </w:tc>
        <w:tc>
          <w:tcPr>
            <w:tcW w:w="144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0</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  级</w:t>
            </w:r>
          </w:p>
        </w:tc>
        <w:tc>
          <w:tcPr>
            <w:tcW w:w="1080"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w:t>
            </w:r>
          </w:p>
        </w:tc>
        <w:tc>
          <w:tcPr>
            <w:tcW w:w="1252"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4</w:t>
            </w:r>
          </w:p>
        </w:tc>
        <w:tc>
          <w:tcPr>
            <w:tcW w:w="1440"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4</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  级</w:t>
            </w:r>
          </w:p>
        </w:tc>
        <w:tc>
          <w:tcPr>
            <w:tcW w:w="1080"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14</w:t>
            </w:r>
          </w:p>
        </w:tc>
        <w:tc>
          <w:tcPr>
            <w:tcW w:w="1252"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12</w:t>
            </w:r>
          </w:p>
        </w:tc>
        <w:tc>
          <w:tcPr>
            <w:tcW w:w="1440"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11</w:t>
            </w:r>
          </w:p>
        </w:tc>
        <w:tc>
          <w:tcPr>
            <w:tcW w:w="1440"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1674"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bl>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2.2.在校体验</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2.2.1在校生满意度调研</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注重建设校园文化环境的建设和文化积淀，走出“让教育因活动面精彩”的育人之路，从激发学生的学习兴趣、增强学生学习信心、构建多样课余生活等方面来丰富学生学习生活体验，学生理论学习满意度达99.</w:t>
      </w:r>
      <w:r>
        <w:rPr>
          <w:rFonts w:cs="Arial" w:asciiTheme="majorEastAsia" w:hAnsiTheme="majorEastAsia" w:eastAsiaTheme="majorEastAsia"/>
          <w:spacing w:val="-2"/>
          <w:position w:val="-2"/>
          <w:sz w:val="24"/>
        </w:rPr>
        <w:t>5</w:t>
      </w:r>
      <w:r>
        <w:rPr>
          <w:rFonts w:hint="eastAsia" w:cs="Arial" w:asciiTheme="majorEastAsia" w:hAnsiTheme="majorEastAsia" w:eastAsiaTheme="majorEastAsia"/>
          <w:spacing w:val="-2"/>
          <w:position w:val="-2"/>
          <w:sz w:val="24"/>
        </w:rPr>
        <w:t>%，专业学习满意度达99.</w:t>
      </w:r>
      <w:r>
        <w:rPr>
          <w:rFonts w:cs="Arial" w:asciiTheme="majorEastAsia" w:hAnsiTheme="majorEastAsia" w:eastAsiaTheme="majorEastAsia"/>
          <w:spacing w:val="-2"/>
          <w:position w:val="-2"/>
          <w:sz w:val="24"/>
        </w:rPr>
        <w:t>3</w:t>
      </w:r>
      <w:r>
        <w:rPr>
          <w:rFonts w:hint="eastAsia" w:cs="Arial" w:asciiTheme="majorEastAsia" w:hAnsiTheme="majorEastAsia" w:eastAsiaTheme="majorEastAsia"/>
          <w:spacing w:val="-2"/>
          <w:position w:val="-2"/>
          <w:sz w:val="24"/>
        </w:rPr>
        <w:t>%，实习实训满意度达99.</w:t>
      </w:r>
      <w:r>
        <w:rPr>
          <w:rFonts w:cs="Arial" w:asciiTheme="majorEastAsia" w:hAnsiTheme="majorEastAsia" w:eastAsiaTheme="majorEastAsia"/>
          <w:spacing w:val="-2"/>
          <w:position w:val="-2"/>
          <w:sz w:val="24"/>
        </w:rPr>
        <w:t>4</w:t>
      </w:r>
      <w:r>
        <w:rPr>
          <w:rFonts w:hint="eastAsia" w:cs="Arial" w:asciiTheme="majorEastAsia" w:hAnsiTheme="majorEastAsia" w:eastAsiaTheme="majorEastAsia"/>
          <w:spacing w:val="-2"/>
          <w:position w:val="-2"/>
          <w:sz w:val="24"/>
        </w:rPr>
        <w:t>%，校园文化与文明礼仪</w:t>
      </w:r>
      <w:r>
        <w:rPr>
          <w:rFonts w:hint="eastAsia" w:cs="Arial" w:asciiTheme="majorEastAsia" w:hAnsiTheme="majorEastAsia" w:eastAsiaTheme="majorEastAsia"/>
          <w:spacing w:val="-2"/>
          <w:position w:val="-2"/>
          <w:sz w:val="24"/>
          <w:lang w:eastAsia="zh-CN"/>
        </w:rPr>
        <w:t>教</w:t>
      </w:r>
      <w:r>
        <w:rPr>
          <w:rFonts w:hint="eastAsia" w:cs="Arial" w:asciiTheme="majorEastAsia" w:hAnsiTheme="majorEastAsia" w:eastAsiaTheme="majorEastAsia"/>
          <w:spacing w:val="-2"/>
          <w:position w:val="-2"/>
          <w:sz w:val="24"/>
        </w:rPr>
        <w:t>育活动满意度达99.</w:t>
      </w:r>
      <w:r>
        <w:rPr>
          <w:rFonts w:cs="Arial" w:asciiTheme="majorEastAsia" w:hAnsiTheme="majorEastAsia" w:eastAsiaTheme="majorEastAsia"/>
          <w:spacing w:val="-2"/>
          <w:position w:val="-2"/>
          <w:sz w:val="24"/>
        </w:rPr>
        <w:t>6</w:t>
      </w:r>
      <w:r>
        <w:rPr>
          <w:rFonts w:hint="eastAsia" w:cs="Arial" w:asciiTheme="majorEastAsia" w:hAnsiTheme="majorEastAsia" w:eastAsiaTheme="majorEastAsia"/>
          <w:spacing w:val="-2"/>
          <w:position w:val="-2"/>
          <w:sz w:val="24"/>
        </w:rPr>
        <w:t>%，校园安全满意度达99.</w:t>
      </w:r>
      <w:r>
        <w:rPr>
          <w:rFonts w:cs="Arial" w:asciiTheme="majorEastAsia" w:hAnsiTheme="majorEastAsia" w:eastAsiaTheme="majorEastAsia"/>
          <w:spacing w:val="-2"/>
          <w:position w:val="-2"/>
          <w:sz w:val="24"/>
        </w:rPr>
        <w:t>6</w:t>
      </w:r>
      <w:r>
        <w:rPr>
          <w:rFonts w:hint="eastAsia" w:cs="Arial" w:asciiTheme="majorEastAsia" w:hAnsiTheme="majorEastAsia" w:eastAsiaTheme="majorEastAsia"/>
          <w:spacing w:val="-2"/>
          <w:position w:val="-2"/>
          <w:sz w:val="24"/>
        </w:rPr>
        <w:t>%，生活满意度达99.</w:t>
      </w:r>
      <w:r>
        <w:rPr>
          <w:rFonts w:cs="Arial" w:asciiTheme="majorEastAsia" w:hAnsiTheme="majorEastAsia" w:eastAsiaTheme="majorEastAsia"/>
          <w:spacing w:val="-2"/>
          <w:position w:val="-2"/>
          <w:sz w:val="24"/>
        </w:rPr>
        <w:t>3</w:t>
      </w:r>
      <w:r>
        <w:rPr>
          <w:rFonts w:hint="eastAsia" w:cs="Arial" w:asciiTheme="majorEastAsia" w:hAnsiTheme="majorEastAsia" w:eastAsiaTheme="majorEastAsia"/>
          <w:spacing w:val="-2"/>
          <w:position w:val="-2"/>
          <w:sz w:val="24"/>
        </w:rPr>
        <w:t>%。</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2.2.2毕业生满意度调研</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学校重视就业指导工作。开展丰富</w:t>
      </w:r>
      <w:r>
        <w:rPr>
          <w:rFonts w:hint="eastAsia" w:cs="Arial" w:asciiTheme="majorEastAsia" w:hAnsiTheme="majorEastAsia" w:eastAsiaTheme="majorEastAsia"/>
          <w:spacing w:val="-2"/>
          <w:position w:val="-2"/>
          <w:sz w:val="24"/>
          <w:lang w:eastAsia="zh-CN"/>
        </w:rPr>
        <w:t>多样的创业</w:t>
      </w:r>
      <w:r>
        <w:rPr>
          <w:rFonts w:hint="eastAsia" w:cs="Arial" w:asciiTheme="majorEastAsia" w:hAnsiTheme="majorEastAsia" w:eastAsiaTheme="majorEastAsia"/>
          <w:spacing w:val="-2"/>
          <w:position w:val="-2"/>
          <w:sz w:val="24"/>
        </w:rPr>
        <w:t>教育活动，进行职业生涯成长规划教育，以培养职业能力、职业素养。建立就业学生管理的跟踪和巡视回访制度，积极为毕业生提供后续管理服务和技术支撑，毕业生对学校的满意度达9</w:t>
      </w:r>
      <w:r>
        <w:rPr>
          <w:rFonts w:hint="eastAsia" w:cs="Arial" w:asciiTheme="majorEastAsia" w:hAnsiTheme="majorEastAsia" w:eastAsiaTheme="majorEastAsia"/>
          <w:spacing w:val="-2"/>
          <w:position w:val="-2"/>
          <w:sz w:val="24"/>
          <w:lang w:val="en-US" w:eastAsia="zh-CN"/>
        </w:rPr>
        <w:t>8</w:t>
      </w:r>
      <w:r>
        <w:rPr>
          <w:rFonts w:hint="eastAsia" w:cs="Arial" w:asciiTheme="majorEastAsia" w:hAnsiTheme="majorEastAsia" w:eastAsiaTheme="majorEastAsia"/>
          <w:spacing w:val="-2"/>
          <w:position w:val="-2"/>
          <w:sz w:val="24"/>
        </w:rPr>
        <w:t>.</w:t>
      </w:r>
      <w:r>
        <w:rPr>
          <w:rFonts w:hint="eastAsia" w:cs="Arial" w:asciiTheme="majorEastAsia" w:hAnsiTheme="majorEastAsia" w:eastAsiaTheme="majorEastAsia"/>
          <w:spacing w:val="-2"/>
          <w:position w:val="-2"/>
          <w:sz w:val="24"/>
          <w:lang w:val="en-US" w:eastAsia="zh-CN"/>
        </w:rPr>
        <w:t>9</w:t>
      </w:r>
      <w:r>
        <w:rPr>
          <w:rFonts w:hint="eastAsia" w:cs="Arial" w:asciiTheme="majorEastAsia" w:hAnsiTheme="majorEastAsia" w:eastAsiaTheme="majorEastAsia"/>
          <w:spacing w:val="-2"/>
          <w:position w:val="-2"/>
          <w:sz w:val="24"/>
        </w:rPr>
        <w:t>%。详见20</w:t>
      </w:r>
      <w:r>
        <w:rPr>
          <w:rFonts w:hint="eastAsia" w:cs="Arial" w:asciiTheme="majorEastAsia" w:hAnsiTheme="majorEastAsia" w:eastAsiaTheme="majorEastAsia"/>
          <w:spacing w:val="-2"/>
          <w:position w:val="-2"/>
          <w:sz w:val="24"/>
          <w:lang w:val="en-US" w:eastAsia="zh-CN"/>
        </w:rPr>
        <w:t>20</w:t>
      </w:r>
      <w:r>
        <w:rPr>
          <w:rFonts w:hint="eastAsia" w:cs="Arial" w:asciiTheme="majorEastAsia" w:hAnsiTheme="majorEastAsia" w:eastAsiaTheme="majorEastAsia"/>
          <w:spacing w:val="-2"/>
          <w:position w:val="-2"/>
          <w:sz w:val="24"/>
        </w:rPr>
        <w:t>-</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21</w:t>
      </w:r>
      <w:r>
        <w:rPr>
          <w:rFonts w:cs="Arial" w:asciiTheme="majorEastAsia" w:hAnsiTheme="majorEastAsia" w:eastAsiaTheme="majorEastAsia"/>
          <w:spacing w:val="-2"/>
          <w:position w:val="-2"/>
          <w:sz w:val="24"/>
        </w:rPr>
        <w:t>年毕业生满意度统计表</w:t>
      </w:r>
      <w:r>
        <w:rPr>
          <w:rFonts w:hint="eastAsia" w:cs="Arial" w:asciiTheme="majorEastAsia" w:hAnsiTheme="majorEastAsia" w:eastAsiaTheme="majorEastAsia"/>
          <w:spacing w:val="-2"/>
          <w:position w:val="-2"/>
          <w:sz w:val="24"/>
        </w:rPr>
        <w:t>2-</w:t>
      </w:r>
      <w:r>
        <w:rPr>
          <w:rFonts w:cs="Arial" w:asciiTheme="majorEastAsia" w:hAnsiTheme="majorEastAsia" w:eastAsiaTheme="majorEastAsia"/>
          <w:spacing w:val="-2"/>
          <w:position w:val="-2"/>
          <w:sz w:val="24"/>
        </w:rPr>
        <w:t>3。</w:t>
      </w:r>
    </w:p>
    <w:p>
      <w:pPr>
        <w:widowControl/>
        <w:shd w:val="clear" w:color="auto" w:fill="FFFFFF"/>
        <w:spacing w:line="440" w:lineRule="exact"/>
        <w:ind w:firstLine="472" w:firstLineChars="20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表</w:t>
      </w:r>
      <w:r>
        <w:rPr>
          <w:rFonts w:cs="Arial" w:asciiTheme="majorEastAsia" w:hAnsiTheme="majorEastAsia" w:eastAsiaTheme="majorEastAsia"/>
          <w:spacing w:val="-2"/>
          <w:position w:val="-2"/>
          <w:sz w:val="24"/>
        </w:rPr>
        <w:t>2-3</w:t>
      </w:r>
      <w:r>
        <w:rPr>
          <w:rFonts w:hint="eastAsia" w:cs="Arial" w:asciiTheme="majorEastAsia" w:hAnsiTheme="majorEastAsia" w:eastAsiaTheme="majorEastAsia"/>
          <w:spacing w:val="-2"/>
          <w:position w:val="-2"/>
          <w:sz w:val="24"/>
        </w:rPr>
        <w:t xml:space="preserve">  </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20</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21</w:t>
      </w:r>
      <w:r>
        <w:rPr>
          <w:rFonts w:hint="eastAsia" w:cs="Arial" w:asciiTheme="majorEastAsia" w:hAnsiTheme="majorEastAsia" w:eastAsiaTheme="majorEastAsia"/>
          <w:spacing w:val="-2"/>
          <w:position w:val="-2"/>
          <w:sz w:val="24"/>
        </w:rPr>
        <w:t>年毕业生满意度统计表</w:t>
      </w:r>
    </w:p>
    <w:tbl>
      <w:tblPr>
        <w:tblStyle w:val="10"/>
        <w:tblW w:w="7932" w:type="dxa"/>
        <w:jc w:val="center"/>
        <w:tblLayout w:type="fixed"/>
        <w:tblCellMar>
          <w:top w:w="0" w:type="dxa"/>
          <w:left w:w="108" w:type="dxa"/>
          <w:bottom w:w="0" w:type="dxa"/>
          <w:right w:w="108" w:type="dxa"/>
        </w:tblCellMar>
      </w:tblPr>
      <w:tblGrid>
        <w:gridCol w:w="2075"/>
        <w:gridCol w:w="1155"/>
        <w:gridCol w:w="1155"/>
        <w:gridCol w:w="3547"/>
      </w:tblGrid>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指标</w:t>
            </w:r>
          </w:p>
        </w:tc>
        <w:tc>
          <w:tcPr>
            <w:tcW w:w="1155" w:type="dxa"/>
            <w:tcBorders>
              <w:top w:val="single" w:color="000000" w:sz="4" w:space="0"/>
              <w:left w:val="nil"/>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r>
              <w:rPr>
                <w:rFonts w:hint="eastAsia" w:cs="Arial" w:asciiTheme="minorEastAsia" w:hAnsiTheme="minorEastAsia" w:eastAsiaTheme="minorEastAsia"/>
                <w:spacing w:val="-2"/>
                <w:position w:val="-2"/>
              </w:rPr>
              <w:t>年</w:t>
            </w:r>
          </w:p>
        </w:tc>
        <w:tc>
          <w:tcPr>
            <w:tcW w:w="1155" w:type="dxa"/>
            <w:tcBorders>
              <w:top w:val="single" w:color="000000" w:sz="4" w:space="0"/>
              <w:left w:val="nil"/>
              <w:bottom w:val="single" w:color="000000" w:sz="4" w:space="0"/>
              <w:right w:val="single" w:color="auto"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r>
              <w:rPr>
                <w:rFonts w:hint="eastAsia" w:cs="Arial" w:asciiTheme="minorEastAsia" w:hAnsiTheme="minorEastAsia" w:eastAsiaTheme="minorEastAsia"/>
                <w:spacing w:val="-2"/>
                <w:position w:val="-2"/>
              </w:rPr>
              <w:t>年</w:t>
            </w:r>
          </w:p>
        </w:tc>
        <w:tc>
          <w:tcPr>
            <w:tcW w:w="3547" w:type="dxa"/>
            <w:tcBorders>
              <w:top w:val="single" w:color="000000" w:sz="4" w:space="0"/>
              <w:left w:val="nil"/>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用文字说明变化情况</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就业率</w:t>
            </w:r>
            <w:r>
              <w:rPr>
                <w:rFonts w:hint="eastAsia" w:cs="Arial" w:asciiTheme="minorEastAsia" w:hAnsiTheme="minorEastAsia" w:eastAsiaTheme="minorEastAsia"/>
                <w:spacing w:val="-2"/>
                <w:position w:val="-2"/>
                <w:sz w:val="18"/>
                <w:szCs w:val="18"/>
                <w:lang w:val="en-US" w:eastAsia="zh-CN"/>
              </w:rPr>
              <w:t>(%)</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100</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就业</w:t>
            </w:r>
            <w:r>
              <w:rPr>
                <w:rFonts w:hint="eastAsia" w:cs="Arial" w:asciiTheme="minorEastAsia" w:hAnsiTheme="minorEastAsia" w:eastAsiaTheme="minorEastAsia"/>
                <w:spacing w:val="-2"/>
                <w:position w:val="-2"/>
                <w:lang w:eastAsia="zh-CN"/>
              </w:rPr>
              <w:t>情况稳定</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平均月收入</w:t>
            </w:r>
            <w:r>
              <w:rPr>
                <w:rFonts w:hint="eastAsia" w:cs="Arial" w:asciiTheme="minorEastAsia" w:hAnsiTheme="minorEastAsia" w:eastAsiaTheme="minorEastAsia"/>
                <w:spacing w:val="-2"/>
                <w:position w:val="-2"/>
                <w:sz w:val="16"/>
                <w:szCs w:val="16"/>
                <w:lang w:val="en-US" w:eastAsia="zh-CN"/>
              </w:rPr>
              <w:t>(元)</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3100</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3200</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比</w:t>
            </w:r>
            <w:r>
              <w:rPr>
                <w:rFonts w:hint="eastAsia" w:cs="Arial" w:asciiTheme="minorEastAsia" w:hAnsiTheme="minorEastAsia" w:eastAsiaTheme="minorEastAsia"/>
                <w:spacing w:val="-2"/>
                <w:position w:val="-2"/>
              </w:rPr>
              <w:t>上年</w:t>
            </w:r>
            <w:r>
              <w:rPr>
                <w:rFonts w:hint="eastAsia" w:cs="Arial" w:asciiTheme="minorEastAsia" w:hAnsiTheme="minorEastAsia" w:eastAsiaTheme="minorEastAsia"/>
                <w:spacing w:val="-2"/>
                <w:position w:val="-2"/>
                <w:lang w:eastAsia="zh-CN"/>
              </w:rPr>
              <w:t>有所</w:t>
            </w:r>
            <w:r>
              <w:rPr>
                <w:rFonts w:hint="eastAsia" w:cs="Arial" w:asciiTheme="minorEastAsia" w:hAnsiTheme="minorEastAsia" w:eastAsiaTheme="minorEastAsia"/>
                <w:spacing w:val="-2"/>
                <w:position w:val="-2"/>
                <w:lang w:val="en-US" w:eastAsia="zh-CN"/>
              </w:rPr>
              <w:t>增加</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母校满意度</w:t>
            </w:r>
            <w:r>
              <w:rPr>
                <w:rFonts w:hint="eastAsia" w:cs="Arial" w:asciiTheme="minorEastAsia" w:hAnsiTheme="minorEastAsia" w:eastAsiaTheme="minorEastAsia"/>
                <w:spacing w:val="-2"/>
                <w:position w:val="-2"/>
                <w:sz w:val="18"/>
                <w:szCs w:val="18"/>
                <w:lang w:eastAsia="zh-CN"/>
              </w:rPr>
              <w:t>（</w:t>
            </w:r>
            <w:r>
              <w:rPr>
                <w:rFonts w:hint="eastAsia" w:cs="Arial" w:asciiTheme="minorEastAsia" w:hAnsiTheme="minorEastAsia" w:eastAsiaTheme="minorEastAsia"/>
                <w:spacing w:val="-2"/>
                <w:position w:val="-2"/>
                <w:sz w:val="18"/>
                <w:szCs w:val="18"/>
                <w:lang w:val="en-US" w:eastAsia="zh-CN"/>
              </w:rPr>
              <w:t>%</w:t>
            </w:r>
            <w:r>
              <w:rPr>
                <w:rFonts w:hint="eastAsia" w:cs="Arial" w:asciiTheme="minorEastAsia" w:hAnsiTheme="minorEastAsia" w:eastAsiaTheme="minorEastAsia"/>
                <w:spacing w:val="-2"/>
                <w:position w:val="-2"/>
                <w:sz w:val="18"/>
                <w:szCs w:val="18"/>
                <w:lang w:eastAsia="zh-CN"/>
              </w:rPr>
              <w:t>）</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98.8</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98.9</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ind w:firstLine="412" w:firstLineChars="200"/>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满意度较上年有所提高</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自主创业比例</w:t>
            </w:r>
            <w:r>
              <w:rPr>
                <w:rFonts w:hint="eastAsia" w:cs="Arial" w:asciiTheme="minorEastAsia" w:hAnsiTheme="minorEastAsia" w:eastAsiaTheme="minorEastAsia"/>
                <w:spacing w:val="-2"/>
                <w:position w:val="-2"/>
                <w:sz w:val="18"/>
                <w:szCs w:val="18"/>
                <w:lang w:eastAsia="zh-CN"/>
              </w:rPr>
              <w:t>（</w:t>
            </w:r>
            <w:r>
              <w:rPr>
                <w:rFonts w:hint="eastAsia" w:cs="Arial" w:asciiTheme="minorEastAsia" w:hAnsiTheme="minorEastAsia" w:eastAsiaTheme="minorEastAsia"/>
                <w:spacing w:val="-2"/>
                <w:position w:val="-2"/>
                <w:sz w:val="18"/>
                <w:szCs w:val="18"/>
                <w:lang w:val="en-US" w:eastAsia="zh-CN"/>
              </w:rPr>
              <w:t>%</w:t>
            </w:r>
            <w:r>
              <w:rPr>
                <w:rFonts w:hint="eastAsia" w:cs="Arial" w:asciiTheme="minorEastAsia" w:hAnsiTheme="minorEastAsia" w:eastAsiaTheme="minorEastAsia"/>
                <w:spacing w:val="-2"/>
                <w:position w:val="-2"/>
                <w:sz w:val="18"/>
                <w:szCs w:val="18"/>
                <w:lang w:eastAsia="zh-CN"/>
              </w:rPr>
              <w:t>）</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0.34</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自主创业比例比20</w:t>
            </w:r>
            <w:r>
              <w:rPr>
                <w:rFonts w:hint="eastAsia" w:cs="Arial" w:asciiTheme="minorEastAsia" w:hAnsiTheme="minorEastAsia" w:eastAsiaTheme="minorEastAsia"/>
                <w:spacing w:val="-2"/>
                <w:position w:val="-2"/>
                <w:lang w:val="en-US" w:eastAsia="zh-CN"/>
              </w:rPr>
              <w:t>20</w:t>
            </w:r>
            <w:r>
              <w:rPr>
                <w:rFonts w:hint="eastAsia" w:cs="Arial" w:asciiTheme="minorEastAsia" w:hAnsiTheme="minorEastAsia" w:eastAsiaTheme="minorEastAsia"/>
                <w:spacing w:val="-2"/>
                <w:position w:val="-2"/>
              </w:rPr>
              <w:t>年</w:t>
            </w:r>
            <w:r>
              <w:rPr>
                <w:rFonts w:hint="eastAsia" w:cs="Arial" w:asciiTheme="minorEastAsia" w:hAnsiTheme="minorEastAsia" w:eastAsiaTheme="minorEastAsia"/>
                <w:spacing w:val="-2"/>
                <w:position w:val="-2"/>
                <w:lang w:val="en-US" w:eastAsia="zh-CN"/>
              </w:rPr>
              <w:t>下降</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雇主满意度</w:t>
            </w:r>
            <w:r>
              <w:rPr>
                <w:rFonts w:hint="eastAsia" w:cs="Arial" w:asciiTheme="minorEastAsia" w:hAnsiTheme="minorEastAsia" w:eastAsiaTheme="minorEastAsia"/>
                <w:spacing w:val="-2"/>
                <w:position w:val="-2"/>
                <w:sz w:val="18"/>
                <w:szCs w:val="18"/>
                <w:lang w:eastAsia="zh-CN"/>
              </w:rPr>
              <w:t>（</w:t>
            </w:r>
            <w:r>
              <w:rPr>
                <w:rFonts w:hint="eastAsia" w:cs="Arial" w:asciiTheme="minorEastAsia" w:hAnsiTheme="minorEastAsia" w:eastAsiaTheme="minorEastAsia"/>
                <w:spacing w:val="-2"/>
                <w:position w:val="-2"/>
                <w:sz w:val="18"/>
                <w:szCs w:val="18"/>
                <w:lang w:val="en-US" w:eastAsia="zh-CN"/>
              </w:rPr>
              <w:t>%</w:t>
            </w:r>
            <w:r>
              <w:rPr>
                <w:rFonts w:hint="eastAsia" w:cs="Arial" w:asciiTheme="minorEastAsia" w:hAnsiTheme="minorEastAsia" w:eastAsiaTheme="minorEastAsia"/>
                <w:spacing w:val="-2"/>
                <w:position w:val="-2"/>
                <w:sz w:val="18"/>
                <w:szCs w:val="18"/>
                <w:lang w:eastAsia="zh-CN"/>
              </w:rPr>
              <w:t>）</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98.4</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较上年</w:t>
            </w:r>
            <w:r>
              <w:rPr>
                <w:rFonts w:hint="eastAsia" w:cs="Arial" w:asciiTheme="minorEastAsia" w:hAnsiTheme="minorEastAsia" w:eastAsiaTheme="minorEastAsia"/>
                <w:spacing w:val="-2"/>
                <w:position w:val="-2"/>
                <w:lang w:eastAsia="zh-CN"/>
              </w:rPr>
              <w:t>明显</w:t>
            </w:r>
            <w:r>
              <w:rPr>
                <w:rFonts w:cs="Arial" w:asciiTheme="minorEastAsia" w:hAnsiTheme="minorEastAsia" w:eastAsiaTheme="minorEastAsia"/>
                <w:spacing w:val="-2"/>
                <w:position w:val="-2"/>
              </w:rPr>
              <w:t>提高</w:t>
            </w:r>
          </w:p>
        </w:tc>
      </w:tr>
      <w:tr>
        <w:tblPrEx>
          <w:tblCellMar>
            <w:top w:w="0" w:type="dxa"/>
            <w:left w:w="108" w:type="dxa"/>
            <w:bottom w:w="0" w:type="dxa"/>
            <w:right w:w="108" w:type="dxa"/>
          </w:tblCellMar>
        </w:tblPrEx>
        <w:trPr>
          <w:trHeight w:val="455" w:hRule="atLeast"/>
          <w:jc w:val="center"/>
        </w:trPr>
        <w:tc>
          <w:tcPr>
            <w:tcW w:w="2075"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毕业生升学比例</w:t>
            </w:r>
            <w:r>
              <w:rPr>
                <w:rFonts w:hint="eastAsia" w:cs="Arial" w:asciiTheme="minorEastAsia" w:hAnsiTheme="minorEastAsia" w:eastAsiaTheme="minorEastAsia"/>
                <w:spacing w:val="-2"/>
                <w:position w:val="-2"/>
                <w:sz w:val="18"/>
                <w:szCs w:val="18"/>
                <w:lang w:eastAsia="zh-CN"/>
              </w:rPr>
              <w:t>（</w:t>
            </w:r>
            <w:r>
              <w:rPr>
                <w:rFonts w:hint="eastAsia" w:cs="Arial" w:asciiTheme="minorEastAsia" w:hAnsiTheme="minorEastAsia" w:eastAsiaTheme="minorEastAsia"/>
                <w:spacing w:val="-2"/>
                <w:position w:val="-2"/>
                <w:sz w:val="18"/>
                <w:szCs w:val="18"/>
                <w:lang w:val="en-US" w:eastAsia="zh-CN"/>
              </w:rPr>
              <w:t>%</w:t>
            </w:r>
            <w:r>
              <w:rPr>
                <w:rFonts w:hint="eastAsia" w:cs="Arial" w:asciiTheme="minorEastAsia" w:hAnsiTheme="minorEastAsia" w:eastAsiaTheme="minorEastAsia"/>
                <w:spacing w:val="-2"/>
                <w:position w:val="-2"/>
                <w:sz w:val="18"/>
                <w:szCs w:val="18"/>
                <w:lang w:eastAsia="zh-CN"/>
              </w:rPr>
              <w:t>）</w:t>
            </w:r>
          </w:p>
        </w:tc>
        <w:tc>
          <w:tcPr>
            <w:tcW w:w="1155"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100</w:t>
            </w:r>
          </w:p>
        </w:tc>
        <w:tc>
          <w:tcPr>
            <w:tcW w:w="1155"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3547"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升学率</w:t>
            </w:r>
            <w:r>
              <w:rPr>
                <w:rFonts w:hint="eastAsia" w:cs="Arial" w:asciiTheme="minorEastAsia" w:hAnsiTheme="minorEastAsia" w:eastAsiaTheme="minorEastAsia"/>
                <w:spacing w:val="-2"/>
                <w:position w:val="-2"/>
                <w:lang w:val="en-US" w:eastAsia="zh-CN"/>
              </w:rPr>
              <w:t>比较稳定</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2.3资助情况</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高度重视免学费、国家助学金以及贫困生助学工作，成立了以校长任组长的资助工作领导小组，构建了助学工作体系。认真贯彻上级的相关文件精神，严格执行“三免一补”政策，关心关爱每一位学生的学习和生活。严格按申请、评选、公示、审核程序足额发放助学金。</w:t>
      </w:r>
      <w:r>
        <w:rPr>
          <w:rFonts w:hint="eastAsia" w:cs="Arial" w:asciiTheme="minorEastAsia" w:hAnsiTheme="minorEastAsia" w:eastAsiaTheme="minorEastAsia"/>
          <w:spacing w:val="-2"/>
          <w:position w:val="-2"/>
          <w:sz w:val="24"/>
          <w:lang w:val="en-US" w:eastAsia="zh-CN"/>
        </w:rPr>
        <w:t>为家庭困难学生每生每年发放2000元助学金，其他学生第生每年发放1500元助学金。</w:t>
      </w:r>
      <w:r>
        <w:rPr>
          <w:rFonts w:hint="eastAsia" w:cs="Arial" w:asciiTheme="minorEastAsia" w:hAnsiTheme="minorEastAsia" w:eastAsiaTheme="minorEastAsia"/>
          <w:bCs/>
          <w:spacing w:val="-2"/>
          <w:position w:val="-2"/>
          <w:sz w:val="24"/>
        </w:rPr>
        <w:t>2</w:t>
      </w:r>
      <w:r>
        <w:rPr>
          <w:rFonts w:cs="Arial" w:asciiTheme="minorEastAsia" w:hAnsiTheme="minorEastAsia" w:eastAsiaTheme="minorEastAsia"/>
          <w:bCs/>
          <w:spacing w:val="-2"/>
          <w:position w:val="-2"/>
          <w:sz w:val="24"/>
        </w:rPr>
        <w:t>0</w:t>
      </w:r>
      <w:r>
        <w:rPr>
          <w:rFonts w:hint="eastAsia" w:cs="Arial" w:asciiTheme="minorEastAsia" w:hAnsiTheme="minorEastAsia" w:eastAsiaTheme="minorEastAsia"/>
          <w:bCs/>
          <w:spacing w:val="-2"/>
          <w:position w:val="-2"/>
          <w:sz w:val="24"/>
          <w:lang w:val="en-US" w:eastAsia="zh-CN"/>
        </w:rPr>
        <w:t>21</w:t>
      </w:r>
      <w:r>
        <w:rPr>
          <w:rFonts w:cs="Arial" w:asciiTheme="minorEastAsia" w:hAnsiTheme="minorEastAsia" w:eastAsiaTheme="minorEastAsia"/>
          <w:bCs/>
          <w:spacing w:val="-2"/>
          <w:position w:val="-2"/>
          <w:sz w:val="24"/>
        </w:rPr>
        <w:t>年</w:t>
      </w:r>
      <w:r>
        <w:rPr>
          <w:rFonts w:hint="eastAsia" w:cs="Arial" w:asciiTheme="minorEastAsia" w:hAnsiTheme="minorEastAsia" w:eastAsiaTheme="minorEastAsia"/>
          <w:spacing w:val="-2"/>
          <w:position w:val="-2"/>
          <w:sz w:val="24"/>
        </w:rPr>
        <w:t>有</w:t>
      </w:r>
      <w:r>
        <w:rPr>
          <w:rFonts w:hint="eastAsia" w:cs="Arial" w:asciiTheme="minorEastAsia" w:hAnsiTheme="minorEastAsia" w:eastAsiaTheme="minorEastAsia"/>
          <w:spacing w:val="-2"/>
          <w:position w:val="-2"/>
          <w:sz w:val="24"/>
          <w:lang w:val="en-US" w:eastAsia="zh-CN"/>
        </w:rPr>
        <w:t>4</w:t>
      </w:r>
      <w:r>
        <w:rPr>
          <w:rFonts w:hint="eastAsia" w:cs="Arial" w:asciiTheme="minorEastAsia" w:hAnsiTheme="minorEastAsia" w:eastAsiaTheme="minorEastAsia"/>
          <w:spacing w:val="-2"/>
          <w:position w:val="-2"/>
          <w:sz w:val="24"/>
        </w:rPr>
        <w:t>名学生获得</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中等职业学校</w:t>
      </w:r>
      <w:r>
        <w:rPr>
          <w:rFonts w:hint="eastAsia" w:cs="Arial" w:asciiTheme="minorEastAsia" w:hAnsiTheme="minorEastAsia" w:eastAsiaTheme="minorEastAsia"/>
          <w:spacing w:val="-2"/>
          <w:position w:val="-2"/>
          <w:sz w:val="24"/>
        </w:rPr>
        <w:t>国家奖学金</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每人6000元</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2.4就业质量</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2.4.1就业率及对口就业率</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学校各专业部与就业办协同规划，依据学生的专业、特长、就业愿望，结合产业人才需求</w:t>
      </w:r>
      <w:r>
        <w:rPr>
          <w:rFonts w:hint="eastAsia" w:cs="Arial" w:asciiTheme="minorEastAsia" w:hAnsiTheme="minorEastAsia" w:eastAsiaTheme="minorEastAsia"/>
          <w:spacing w:val="-2"/>
          <w:position w:val="-2"/>
          <w:sz w:val="24"/>
          <w:lang w:val="en-US" w:eastAsia="zh-CN"/>
        </w:rPr>
        <w:t>发</w:t>
      </w:r>
      <w:r>
        <w:rPr>
          <w:rFonts w:hint="eastAsia" w:cs="Arial" w:asciiTheme="minorEastAsia" w:hAnsiTheme="minorEastAsia" w:eastAsiaTheme="minorEastAsia"/>
          <w:spacing w:val="-2"/>
          <w:position w:val="-2"/>
          <w:sz w:val="24"/>
        </w:rPr>
        <w:t>展学生</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开拓就业渠道，确保学生有较高的就业质量，各专业就业率</w:t>
      </w:r>
      <w:r>
        <w:rPr>
          <w:rFonts w:hint="eastAsia" w:cs="Arial" w:asciiTheme="minorEastAsia" w:hAnsiTheme="minorEastAsia" w:eastAsiaTheme="minorEastAsia"/>
          <w:spacing w:val="-2"/>
          <w:position w:val="-2"/>
          <w:sz w:val="24"/>
          <w:lang w:eastAsia="zh-CN"/>
        </w:rPr>
        <w:t>（包括升入高校）</w:t>
      </w:r>
      <w:r>
        <w:rPr>
          <w:rFonts w:hint="eastAsia" w:cs="Arial" w:asciiTheme="minorEastAsia" w:hAnsiTheme="minorEastAsia" w:eastAsiaTheme="minorEastAsia"/>
          <w:spacing w:val="-2"/>
          <w:position w:val="-2"/>
          <w:sz w:val="24"/>
        </w:rPr>
        <w:t>到</w:t>
      </w:r>
      <w:r>
        <w:rPr>
          <w:rFonts w:hint="eastAsia" w:cs="Arial" w:asciiTheme="minorEastAsia" w:hAnsiTheme="minorEastAsia" w:eastAsiaTheme="minorEastAsia"/>
          <w:spacing w:val="-2"/>
          <w:position w:val="-2"/>
          <w:sz w:val="24"/>
          <w:lang w:val="en-US" w:eastAsia="zh-CN"/>
        </w:rPr>
        <w:t>100</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。有</w:t>
      </w:r>
      <w:r>
        <w:rPr>
          <w:rFonts w:hint="eastAsia" w:cs="Arial" w:asciiTheme="minorEastAsia" w:hAnsiTheme="minorEastAsia" w:eastAsiaTheme="minorEastAsia"/>
          <w:spacing w:val="-2"/>
          <w:position w:val="-2"/>
          <w:sz w:val="24"/>
          <w:lang w:val="en-US" w:eastAsia="zh-CN"/>
        </w:rPr>
        <w:t>60名毕业生</w:t>
      </w:r>
      <w:r>
        <w:rPr>
          <w:rFonts w:hint="eastAsia" w:cs="Arial" w:asciiTheme="minorEastAsia" w:hAnsiTheme="minorEastAsia" w:eastAsiaTheme="minorEastAsia"/>
          <w:spacing w:val="-2"/>
          <w:position w:val="-2"/>
          <w:sz w:val="24"/>
          <w:lang w:eastAsia="zh-CN"/>
        </w:rPr>
        <w:t>直接就业，</w:t>
      </w:r>
      <w:r>
        <w:rPr>
          <w:rFonts w:hint="eastAsia" w:cs="Arial" w:asciiTheme="minorEastAsia" w:hAnsiTheme="minorEastAsia" w:eastAsiaTheme="minorEastAsia"/>
          <w:spacing w:val="-2"/>
          <w:position w:val="-2"/>
          <w:sz w:val="24"/>
        </w:rPr>
        <w:t>对口就业率达到</w:t>
      </w:r>
      <w:r>
        <w:rPr>
          <w:rFonts w:cs="Arial" w:asciiTheme="minorEastAsia" w:hAnsiTheme="minorEastAsia" w:eastAsiaTheme="minorEastAsia"/>
          <w:spacing w:val="-2"/>
          <w:position w:val="-2"/>
          <w:sz w:val="24"/>
        </w:rPr>
        <w:t>9</w:t>
      </w:r>
      <w:r>
        <w:rPr>
          <w:rFonts w:hint="eastAsia" w:cs="Arial" w:asciiTheme="minorEastAsia" w:hAnsiTheme="minorEastAsia" w:eastAsiaTheme="minorEastAsia"/>
          <w:spacing w:val="-2"/>
          <w:position w:val="-2"/>
          <w:sz w:val="24"/>
          <w:lang w:val="en-US" w:eastAsia="zh-CN"/>
        </w:rPr>
        <w:t>0</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val="en-US" w:eastAsia="zh-CN"/>
        </w:rPr>
        <w:t>1</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对口单招学生升入高等</w:t>
      </w:r>
      <w:r>
        <w:rPr>
          <w:rFonts w:hint="eastAsia" w:cs="Arial" w:asciiTheme="minorEastAsia" w:hAnsiTheme="minorEastAsia" w:eastAsiaTheme="minorEastAsia"/>
          <w:spacing w:val="-2"/>
          <w:position w:val="-2"/>
          <w:sz w:val="24"/>
          <w:lang w:eastAsia="zh-CN"/>
        </w:rPr>
        <w:t>院校</w:t>
      </w:r>
      <w:r>
        <w:rPr>
          <w:rFonts w:hint="eastAsia" w:cs="Arial" w:asciiTheme="minorEastAsia" w:hAnsiTheme="minorEastAsia" w:eastAsiaTheme="minorEastAsia"/>
          <w:spacing w:val="-2"/>
          <w:position w:val="-2"/>
          <w:sz w:val="24"/>
        </w:rPr>
        <w:t>比例达到</w:t>
      </w:r>
      <w:r>
        <w:rPr>
          <w:rFonts w:hint="eastAsia" w:cs="Arial" w:asciiTheme="minorEastAsia" w:hAnsiTheme="minorEastAsia" w:eastAsiaTheme="minorEastAsia"/>
          <w:spacing w:val="-2"/>
          <w:position w:val="-2"/>
          <w:sz w:val="24"/>
          <w:lang w:val="en-US" w:eastAsia="zh-CN"/>
        </w:rPr>
        <w:t>88.2</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学生本地就业底薪达到2</w:t>
      </w:r>
      <w:r>
        <w:rPr>
          <w:rFonts w:hint="eastAsia" w:cs="Arial" w:asciiTheme="minorEastAsia" w:hAnsiTheme="minorEastAsia" w:eastAsiaTheme="minorEastAsia"/>
          <w:spacing w:val="-2"/>
          <w:position w:val="-2"/>
          <w:sz w:val="24"/>
          <w:lang w:val="en-US" w:eastAsia="zh-CN"/>
        </w:rPr>
        <w:t>2</w:t>
      </w:r>
      <w:r>
        <w:rPr>
          <w:rFonts w:hint="eastAsia" w:cs="Arial" w:asciiTheme="minorEastAsia" w:hAnsiTheme="minorEastAsia" w:eastAsiaTheme="minorEastAsia"/>
          <w:spacing w:val="-2"/>
          <w:position w:val="-2"/>
          <w:sz w:val="24"/>
        </w:rPr>
        <w:t>00元左右，就业率与以往比较有所提高，底薪也有所提高。详见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年毕业生就业抽样调查</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4</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表2-</w:t>
      </w:r>
      <w:r>
        <w:rPr>
          <w:rFonts w:cs="Arial" w:asciiTheme="minorEastAsia" w:hAnsiTheme="minorEastAsia" w:eastAsiaTheme="minorEastAsia"/>
          <w:spacing w:val="-2"/>
          <w:position w:val="-2"/>
          <w:sz w:val="24"/>
        </w:rPr>
        <w:t>4  20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w:t>
      </w:r>
      <w:r>
        <w:rPr>
          <w:rFonts w:hint="eastAsia" w:cs="Arial" w:asciiTheme="minorEastAsia" w:hAnsiTheme="minorEastAsia" w:eastAsiaTheme="minorEastAsia"/>
          <w:spacing w:val="-2"/>
          <w:position w:val="-2"/>
          <w:sz w:val="24"/>
        </w:rPr>
        <w:t>就业率抽样调查表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40"/>
        <w:gridCol w:w="268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368"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毕业时间</w:t>
            </w:r>
          </w:p>
        </w:tc>
        <w:tc>
          <w:tcPr>
            <w:tcW w:w="7154" w:type="dxa"/>
            <w:gridSpan w:val="3"/>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就业基本情况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1368"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23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调研人数</w:t>
            </w:r>
            <w:r>
              <w:rPr>
                <w:rFonts w:hint="eastAsia" w:cs="Arial" w:asciiTheme="minorEastAsia" w:hAnsiTheme="minorEastAsia" w:eastAsiaTheme="minorEastAsia"/>
                <w:spacing w:val="-2"/>
                <w:position w:val="-2"/>
                <w:sz w:val="16"/>
                <w:szCs w:val="16"/>
              </w:rPr>
              <w:t>（人）</w:t>
            </w:r>
          </w:p>
        </w:tc>
        <w:tc>
          <w:tcPr>
            <w:tcW w:w="268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就业率（%）</w:t>
            </w:r>
          </w:p>
        </w:tc>
        <w:tc>
          <w:tcPr>
            <w:tcW w:w="213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对口就业率（%）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2340" w:type="dxa"/>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91</w:t>
            </w:r>
          </w:p>
        </w:tc>
        <w:tc>
          <w:tcPr>
            <w:tcW w:w="2683" w:type="dxa"/>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100</w:t>
            </w:r>
          </w:p>
        </w:tc>
        <w:tc>
          <w:tcPr>
            <w:tcW w:w="2131" w:type="dxa"/>
            <w:vAlign w:val="center"/>
          </w:tcPr>
          <w:p>
            <w:pPr>
              <w:widowControl/>
              <w:shd w:val="clear" w:color="auto" w:fill="FFFFFF"/>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kern w:val="2"/>
                <w:position w:val="-2"/>
                <w:sz w:val="21"/>
                <w:szCs w:val="21"/>
                <w:lang w:val="en-US" w:eastAsia="zh-CN" w:bidi="ar-SA"/>
              </w:rPr>
              <w:t>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2340"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60</w:t>
            </w:r>
          </w:p>
        </w:tc>
        <w:tc>
          <w:tcPr>
            <w:tcW w:w="2683"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2131"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90.1</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2.4.2分专业就业月薪统计</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本年度与上年度对比后，骨干专业月薪高，其它专业月薪略低。详见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年分专业毕业生就业月薪</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2-5</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w:t>
      </w:r>
      <w:r>
        <w:rPr>
          <w:rFonts w:cs="Arial" w:asciiTheme="minorEastAsia" w:hAnsiTheme="minorEastAsia" w:eastAsiaTheme="minorEastAsia"/>
          <w:spacing w:val="-2"/>
          <w:position w:val="-2"/>
          <w:sz w:val="24"/>
        </w:rPr>
        <w:t>2-5</w:t>
      </w:r>
      <w:r>
        <w:rPr>
          <w:rFonts w:hint="eastAsia" w:cs="Arial" w:asciiTheme="minorEastAsia" w:hAnsiTheme="minorEastAsia" w:eastAsiaTheme="minorEastAsia"/>
          <w:spacing w:val="-2"/>
          <w:position w:val="-2"/>
          <w:sz w:val="24"/>
        </w:rPr>
        <w:t xml:space="preserve">  </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年分专业毕业生就业月薪</w:t>
      </w:r>
      <w:r>
        <w:rPr>
          <w:rFonts w:hint="eastAsia" w:cs="Arial" w:asciiTheme="minorEastAsia" w:hAnsiTheme="minorEastAsia" w:eastAsiaTheme="minorEastAsia"/>
          <w:spacing w:val="-2"/>
          <w:position w:val="-2"/>
          <w:sz w:val="24"/>
        </w:rPr>
        <w:t>统计</w:t>
      </w: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746"/>
        <w:gridCol w:w="1417"/>
        <w:gridCol w:w="1559"/>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Merge w:val="restart"/>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年度</w:t>
            </w:r>
          </w:p>
        </w:tc>
        <w:tc>
          <w:tcPr>
            <w:tcW w:w="6554" w:type="dxa"/>
            <w:gridSpan w:val="4"/>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各专业毕业生就业月薪</w:t>
            </w:r>
            <w:r>
              <w:rPr>
                <w:rFonts w:hint="eastAsia" w:cs="Arial" w:asciiTheme="minorEastAsia" w:hAnsiTheme="minorEastAsia" w:eastAsiaTheme="minorEastAsia"/>
                <w:spacing w:val="-2"/>
                <w:position w:val="-2"/>
                <w:sz w:val="18"/>
                <w:szCs w:val="18"/>
                <w:lang w:eastAsia="zh-CN"/>
              </w:rPr>
              <w:t>（</w:t>
            </w:r>
            <w:r>
              <w:rPr>
                <w:rFonts w:cs="Arial" w:asciiTheme="minorEastAsia" w:hAnsiTheme="minorEastAsia" w:eastAsiaTheme="minorEastAsia"/>
                <w:spacing w:val="-2"/>
                <w:position w:val="-2"/>
                <w:sz w:val="18"/>
                <w:szCs w:val="18"/>
              </w:rPr>
              <w:t>元</w:t>
            </w:r>
            <w:r>
              <w:rPr>
                <w:rFonts w:hint="eastAsia" w:cs="Arial" w:asciiTheme="minorEastAsia" w:hAnsiTheme="minorEastAsia" w:eastAsiaTheme="minorEastAsia"/>
                <w:spacing w:val="-2"/>
                <w:positio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Merge w:val="continue"/>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p>
        </w:tc>
        <w:tc>
          <w:tcPr>
            <w:tcW w:w="1746"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酒店服务管理</w:t>
            </w:r>
          </w:p>
        </w:tc>
        <w:tc>
          <w:tcPr>
            <w:tcW w:w="1417"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中餐烹饪</w:t>
            </w:r>
          </w:p>
        </w:tc>
        <w:tc>
          <w:tcPr>
            <w:tcW w:w="1559"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学前教育</w:t>
            </w:r>
          </w:p>
        </w:tc>
        <w:tc>
          <w:tcPr>
            <w:tcW w:w="1832"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746" w:type="dxa"/>
            <w:vAlign w:val="center"/>
          </w:tcPr>
          <w:p>
            <w:pPr>
              <w:widowControl/>
              <w:spacing w:line="440" w:lineRule="exact"/>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400</w:t>
            </w:r>
          </w:p>
        </w:tc>
        <w:tc>
          <w:tcPr>
            <w:tcW w:w="1417" w:type="dxa"/>
            <w:vAlign w:val="center"/>
          </w:tcPr>
          <w:p>
            <w:pPr>
              <w:widowControl/>
              <w:spacing w:line="440" w:lineRule="exact"/>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300</w:t>
            </w:r>
          </w:p>
        </w:tc>
        <w:tc>
          <w:tcPr>
            <w:tcW w:w="1559" w:type="dxa"/>
            <w:vAlign w:val="center"/>
          </w:tcPr>
          <w:p>
            <w:pPr>
              <w:widowControl/>
              <w:spacing w:line="440" w:lineRule="exact"/>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2</w:t>
            </w:r>
            <w:r>
              <w:rPr>
                <w:rFonts w:cs="Arial" w:asciiTheme="minorEastAsia" w:hAnsiTheme="minorEastAsia" w:eastAsiaTheme="minorEastAsia"/>
                <w:spacing w:val="-2"/>
                <w:position w:val="-2"/>
              </w:rPr>
              <w:t>200</w:t>
            </w:r>
          </w:p>
        </w:tc>
        <w:tc>
          <w:tcPr>
            <w:tcW w:w="1832" w:type="dxa"/>
            <w:vAlign w:val="center"/>
          </w:tcPr>
          <w:p>
            <w:pPr>
              <w:widowControl/>
              <w:spacing w:line="440" w:lineRule="exact"/>
              <w:jc w:val="center"/>
              <w:rPr>
                <w:rFonts w:cs="Arial" w:asciiTheme="minorEastAsia" w:hAnsiTheme="minorEastAsia" w:eastAsiaTheme="minorEastAsia"/>
                <w:spacing w:val="-2"/>
                <w:kern w:val="2"/>
                <w:position w:val="-2"/>
                <w:sz w:val="21"/>
                <w:szCs w:val="21"/>
                <w:lang w:val="en-US" w:eastAsia="zh-CN" w:bidi="ar-SA"/>
              </w:rPr>
            </w:pPr>
            <w:r>
              <w:rPr>
                <w:rFonts w:cs="Arial" w:asciiTheme="minorEastAsia" w:hAnsiTheme="minorEastAsia" w:eastAsiaTheme="minorEastAsia"/>
                <w:spacing w:val="-2"/>
                <w:position w:val="-2"/>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1746"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3400</w:t>
            </w:r>
          </w:p>
        </w:tc>
        <w:tc>
          <w:tcPr>
            <w:tcW w:w="1417"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3200</w:t>
            </w:r>
          </w:p>
        </w:tc>
        <w:tc>
          <w:tcPr>
            <w:tcW w:w="1559"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2200</w:t>
            </w:r>
          </w:p>
        </w:tc>
        <w:tc>
          <w:tcPr>
            <w:tcW w:w="1832"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3100</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2.4.3毕业生就业去向</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本年度毕业生就业由上年的主要面向民营企业转向部分毕业生进入公办企业，酒店服务与</w:t>
      </w:r>
      <w:r>
        <w:rPr>
          <w:rFonts w:hint="eastAsia" w:cs="Arial" w:asciiTheme="minorEastAsia" w:hAnsiTheme="minorEastAsia" w:eastAsiaTheme="minorEastAsia"/>
          <w:spacing w:val="-2"/>
          <w:position w:val="-2"/>
          <w:sz w:val="24"/>
          <w:lang w:eastAsia="zh-CN"/>
        </w:rPr>
        <w:t>管理</w:t>
      </w:r>
      <w:r>
        <w:rPr>
          <w:rFonts w:hint="eastAsia" w:cs="Arial" w:asciiTheme="minorEastAsia" w:hAnsiTheme="minorEastAsia" w:eastAsiaTheme="minorEastAsia"/>
          <w:spacing w:val="-2"/>
          <w:position w:val="-2"/>
          <w:sz w:val="24"/>
        </w:rPr>
        <w:t>专业毕业生已经有</w:t>
      </w:r>
      <w:r>
        <w:rPr>
          <w:rFonts w:hint="eastAsia" w:cs="Arial" w:asciiTheme="minorEastAsia" w:hAnsiTheme="minorEastAsia" w:eastAsiaTheme="minorEastAsia"/>
          <w:spacing w:val="-2"/>
          <w:position w:val="-2"/>
          <w:sz w:val="24"/>
          <w:lang w:val="en-US" w:eastAsia="zh-CN"/>
        </w:rPr>
        <w:t>8</w:t>
      </w:r>
      <w:r>
        <w:rPr>
          <w:rFonts w:cs="Arial" w:asciiTheme="minorEastAsia" w:hAnsiTheme="minorEastAsia" w:eastAsiaTheme="minorEastAsia"/>
          <w:spacing w:val="-2"/>
          <w:position w:val="-2"/>
          <w:sz w:val="24"/>
        </w:rPr>
        <w:t>人到上海东湖集团旗下高星级宾馆、酒店就业</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运动训练足球师资班有8名学生考上中小学体育教师</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年毕业生就业去向</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val="en-US" w:eastAsia="zh-CN"/>
        </w:rPr>
        <w:t>6</w:t>
      </w:r>
      <w:r>
        <w:rPr>
          <w:rFonts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表2-</w:t>
      </w:r>
      <w:r>
        <w:rPr>
          <w:rFonts w:hint="eastAsia" w:cs="Arial" w:asciiTheme="minorEastAsia" w:hAnsiTheme="minorEastAsia" w:eastAsiaTheme="minorEastAsia"/>
          <w:spacing w:val="-2"/>
          <w:position w:val="-2"/>
          <w:sz w:val="24"/>
          <w:lang w:val="en-US" w:eastAsia="zh-CN"/>
        </w:rPr>
        <w:t>6</w:t>
      </w:r>
      <w:r>
        <w:rPr>
          <w:rFonts w:cs="Arial" w:asciiTheme="minorEastAsia" w:hAnsiTheme="minorEastAsia" w:eastAsiaTheme="minorEastAsia"/>
          <w:spacing w:val="-2"/>
          <w:position w:val="-2"/>
          <w:sz w:val="24"/>
        </w:rPr>
        <w:t xml:space="preserve">  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rPr>
        <w:t>毕业生就业去向统计表</w:t>
      </w:r>
    </w:p>
    <w:tbl>
      <w:tblPr>
        <w:tblStyle w:val="10"/>
        <w:tblW w:w="84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2956"/>
        <w:gridCol w:w="2268"/>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295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国有企业、事业单位</w:t>
            </w:r>
          </w:p>
        </w:tc>
        <w:tc>
          <w:tcPr>
            <w:tcW w:w="226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民营企业</w:t>
            </w:r>
          </w:p>
        </w:tc>
        <w:tc>
          <w:tcPr>
            <w:tcW w:w="220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外资企业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2956" w:type="dxa"/>
            <w:vAlign w:val="center"/>
          </w:tcPr>
          <w:p>
            <w:pPr>
              <w:widowControl/>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21</w:t>
            </w:r>
          </w:p>
        </w:tc>
        <w:tc>
          <w:tcPr>
            <w:tcW w:w="2268" w:type="dxa"/>
            <w:vAlign w:val="center"/>
          </w:tcPr>
          <w:p>
            <w:pPr>
              <w:widowControl/>
              <w:jc w:val="center"/>
              <w:rPr>
                <w:rFonts w:hint="default"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lang w:val="en-US" w:eastAsia="zh-CN"/>
              </w:rPr>
              <w:t>70</w:t>
            </w:r>
          </w:p>
        </w:tc>
        <w:tc>
          <w:tcPr>
            <w:tcW w:w="2208"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2956"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8</w:t>
            </w:r>
          </w:p>
        </w:tc>
        <w:tc>
          <w:tcPr>
            <w:tcW w:w="226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52</w:t>
            </w:r>
          </w:p>
        </w:tc>
        <w:tc>
          <w:tcPr>
            <w:tcW w:w="2208"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r>
    </w:tbl>
    <w:p>
      <w:pPr>
        <w:widowControl/>
        <w:shd w:val="clear" w:color="auto" w:fill="FFFFFF"/>
        <w:ind w:firstLine="474" w:firstLineChars="200"/>
        <w:rPr>
          <w:rFonts w:hint="eastAsia" w:ascii="仿宋" w:hAnsi="仿宋" w:eastAsia="仿宋" w:cs="Arial"/>
          <w:b/>
          <w:spacing w:val="-2"/>
          <w:position w:val="-2"/>
          <w:sz w:val="24"/>
        </w:rPr>
      </w:pPr>
    </w:p>
    <w:p>
      <w:pPr>
        <w:widowControl/>
        <w:shd w:val="clear" w:color="auto" w:fill="FFFFFF"/>
        <w:ind w:firstLine="474" w:firstLineChars="200"/>
        <w:rPr>
          <w:rFonts w:ascii="仿宋" w:hAnsi="仿宋" w:eastAsia="仿宋" w:cs="Arial"/>
          <w:b/>
          <w:spacing w:val="-2"/>
          <w:position w:val="-2"/>
          <w:sz w:val="24"/>
        </w:rPr>
      </w:pPr>
      <w:r>
        <w:rPr>
          <w:rFonts w:hint="eastAsia" w:ascii="仿宋" w:hAnsi="仿宋" w:eastAsia="仿宋" w:cs="Arial"/>
          <w:b/>
          <w:spacing w:val="-2"/>
          <w:position w:val="-2"/>
          <w:sz w:val="24"/>
        </w:rPr>
        <w:t>2.4.4毕业生就业产业</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毕业生就业产业，本年度与上年度对比后，进入一产二产的毕业占比增加，进入三产的毕业生占比减少，原因是本届毕业生中3+</w:t>
      </w:r>
      <w:r>
        <w:rPr>
          <w:rFonts w:cs="Arial" w:asciiTheme="minorEastAsia" w:hAnsiTheme="minorEastAsia" w:eastAsiaTheme="minorEastAsia"/>
          <w:spacing w:val="-2"/>
          <w:position w:val="-2"/>
          <w:sz w:val="24"/>
        </w:rPr>
        <w:t>2五年制高职的学生人数增加，直接转段进入了联办高校学习</w:t>
      </w:r>
      <w:r>
        <w:rPr>
          <w:rFonts w:hint="eastAsia" w:cs="Arial" w:asciiTheme="minorEastAsia" w:hAnsiTheme="minorEastAsia" w:eastAsiaTheme="minorEastAsia"/>
          <w:spacing w:val="-2"/>
          <w:position w:val="-2"/>
          <w:sz w:val="24"/>
        </w:rPr>
        <w:t>。详见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年毕业生就业产业</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lang w:val="en-US" w:eastAsia="zh-CN"/>
        </w:rPr>
        <w:t>7</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cs="Arial" w:asciiTheme="minorEastAsia" w:hAnsiTheme="minorEastAsia" w:eastAsiaTheme="minorEastAsia"/>
          <w:spacing w:val="-2"/>
          <w:position w:val="-2"/>
          <w:sz w:val="24"/>
        </w:rPr>
        <w:t>表</w:t>
      </w:r>
      <w:r>
        <w:rPr>
          <w:rFonts w:hint="eastAsia"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lang w:val="en-US" w:eastAsia="zh-CN"/>
        </w:rPr>
        <w:t>7</w:t>
      </w:r>
      <w:r>
        <w:rPr>
          <w:rFonts w:cs="Arial" w:asciiTheme="minorEastAsia" w:hAnsiTheme="minorEastAsia" w:eastAsiaTheme="minorEastAsia"/>
          <w:spacing w:val="-2"/>
          <w:position w:val="-2"/>
          <w:sz w:val="24"/>
        </w:rPr>
        <w:t xml:space="preserve">  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年毕业生就业产业统计表</w:t>
      </w:r>
    </w:p>
    <w:tbl>
      <w:tblPr>
        <w:tblStyle w:val="10"/>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830"/>
        <w:gridCol w:w="1418"/>
        <w:gridCol w:w="850"/>
        <w:gridCol w:w="1418"/>
        <w:gridCol w:w="850"/>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08" w:type="dxa"/>
            <w:vMerge w:val="restart"/>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年号</w:t>
            </w:r>
          </w:p>
        </w:tc>
        <w:tc>
          <w:tcPr>
            <w:tcW w:w="2248"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一产毕业生</w:t>
            </w:r>
          </w:p>
        </w:tc>
        <w:tc>
          <w:tcPr>
            <w:tcW w:w="2268"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二产毕业生</w:t>
            </w:r>
          </w:p>
        </w:tc>
        <w:tc>
          <w:tcPr>
            <w:tcW w:w="3024"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三产毕业生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008" w:type="dxa"/>
            <w:vMerge w:val="continue"/>
            <w:shd w:val="clear" w:color="auto" w:fill="5B9BD5" w:themeFill="accent1"/>
            <w:vAlign w:val="center"/>
          </w:tcPr>
          <w:p>
            <w:pPr>
              <w:widowControl/>
              <w:jc w:val="center"/>
              <w:rPr>
                <w:rFonts w:cs="Arial" w:asciiTheme="majorEastAsia" w:hAnsiTheme="majorEastAsia" w:eastAsiaTheme="majorEastAsia"/>
                <w:spacing w:val="-2"/>
                <w:position w:val="-2"/>
              </w:rPr>
            </w:pPr>
          </w:p>
        </w:tc>
        <w:tc>
          <w:tcPr>
            <w:tcW w:w="83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1418"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c>
          <w:tcPr>
            <w:tcW w:w="85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1418"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c>
          <w:tcPr>
            <w:tcW w:w="85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2174"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rPr>
              <w:t>20</w:t>
            </w:r>
            <w:r>
              <w:rPr>
                <w:rFonts w:hint="eastAsia" w:cs="Arial" w:asciiTheme="majorEastAsia" w:hAnsiTheme="majorEastAsia" w:eastAsiaTheme="majorEastAsia"/>
                <w:spacing w:val="-2"/>
                <w:position w:val="-2"/>
                <w:lang w:val="en-US" w:eastAsia="zh-CN"/>
              </w:rPr>
              <w:t>20</w:t>
            </w:r>
          </w:p>
        </w:tc>
        <w:tc>
          <w:tcPr>
            <w:tcW w:w="830" w:type="dxa"/>
            <w:vAlign w:val="center"/>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1418" w:type="dxa"/>
            <w:vAlign w:val="center"/>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r>
              <w:rPr>
                <w:rFonts w:hint="eastAsia" w:ascii="仿宋" w:hAnsi="仿宋" w:eastAsia="仿宋"/>
                <w:spacing w:val="-2"/>
                <w:position w:val="-2"/>
                <w:sz w:val="24"/>
                <w:lang w:val="en-US" w:eastAsia="zh-CN"/>
              </w:rPr>
              <w:t>%</w:t>
            </w:r>
          </w:p>
        </w:tc>
        <w:tc>
          <w:tcPr>
            <w:tcW w:w="85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19</w:t>
            </w:r>
          </w:p>
        </w:tc>
        <w:tc>
          <w:tcPr>
            <w:tcW w:w="1418"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3.2</w:t>
            </w:r>
            <w:r>
              <w:rPr>
                <w:rFonts w:hint="eastAsia" w:ascii="仿宋" w:hAnsi="仿宋" w:eastAsia="仿宋"/>
                <w:spacing w:val="-2"/>
                <w:position w:val="-2"/>
                <w:sz w:val="24"/>
                <w:lang w:val="en-US" w:eastAsia="zh-CN"/>
              </w:rPr>
              <w:t>%</w:t>
            </w:r>
          </w:p>
        </w:tc>
        <w:tc>
          <w:tcPr>
            <w:tcW w:w="85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72</w:t>
            </w:r>
          </w:p>
        </w:tc>
        <w:tc>
          <w:tcPr>
            <w:tcW w:w="2174"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12.3</w:t>
            </w:r>
            <w:r>
              <w:rPr>
                <w:rFonts w:hint="eastAsia" w:ascii="仿宋" w:hAnsi="仿宋" w:eastAsia="仿宋"/>
                <w:spacing w:val="-2"/>
                <w:position w:val="-2"/>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rPr>
              <w:t>20</w:t>
            </w:r>
            <w:r>
              <w:rPr>
                <w:rFonts w:hint="eastAsia" w:cs="Arial" w:asciiTheme="majorEastAsia" w:hAnsiTheme="majorEastAsia" w:eastAsiaTheme="majorEastAsia"/>
                <w:spacing w:val="-2"/>
                <w:position w:val="-2"/>
                <w:lang w:val="en-US" w:eastAsia="zh-CN"/>
              </w:rPr>
              <w:t>21</w:t>
            </w:r>
          </w:p>
        </w:tc>
        <w:tc>
          <w:tcPr>
            <w:tcW w:w="830" w:type="dxa"/>
            <w:vAlign w:val="center"/>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1</w:t>
            </w:r>
          </w:p>
        </w:tc>
        <w:tc>
          <w:tcPr>
            <w:tcW w:w="1418" w:type="dxa"/>
            <w:vAlign w:val="center"/>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1.6%</w:t>
            </w:r>
          </w:p>
        </w:tc>
        <w:tc>
          <w:tcPr>
            <w:tcW w:w="850" w:type="dxa"/>
            <w:vAlign w:val="top"/>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7</w:t>
            </w:r>
          </w:p>
        </w:tc>
        <w:tc>
          <w:tcPr>
            <w:tcW w:w="1418" w:type="dxa"/>
            <w:vAlign w:val="top"/>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11.5%</w:t>
            </w:r>
          </w:p>
        </w:tc>
        <w:tc>
          <w:tcPr>
            <w:tcW w:w="850" w:type="dxa"/>
            <w:vAlign w:val="top"/>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52</w:t>
            </w:r>
          </w:p>
        </w:tc>
        <w:tc>
          <w:tcPr>
            <w:tcW w:w="2174" w:type="dxa"/>
            <w:vAlign w:val="top"/>
          </w:tcPr>
          <w:p>
            <w:pPr>
              <w:widowControl/>
              <w:spacing w:beforeLines="0" w:afterLines="0"/>
              <w:jc w:val="center"/>
              <w:rPr>
                <w:rFonts w:hint="default" w:ascii="仿宋" w:hAnsi="仿宋" w:eastAsia="仿宋" w:cs="Times New Roman"/>
                <w:spacing w:val="-2"/>
                <w:kern w:val="2"/>
                <w:position w:val="-2"/>
                <w:sz w:val="24"/>
                <w:szCs w:val="21"/>
                <w:lang w:val="en-US" w:eastAsia="zh-CN" w:bidi="ar-SA"/>
              </w:rPr>
            </w:pPr>
            <w:r>
              <w:rPr>
                <w:rFonts w:hint="eastAsia" w:ascii="仿宋" w:hAnsi="仿宋" w:eastAsia="仿宋" w:cs="Times New Roman"/>
                <w:spacing w:val="-2"/>
                <w:kern w:val="2"/>
                <w:position w:val="-2"/>
                <w:sz w:val="24"/>
                <w:szCs w:val="21"/>
                <w:lang w:val="en-US" w:eastAsia="zh-CN" w:bidi="ar-SA"/>
              </w:rPr>
              <w:t>86.67%</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2.4.5毕业生升学情况</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毕业生升学情况本年度与上年度对比，</w:t>
      </w:r>
      <w:r>
        <w:rPr>
          <w:rFonts w:hint="eastAsia" w:cs="Arial" w:asciiTheme="minorEastAsia" w:hAnsiTheme="minorEastAsia" w:eastAsiaTheme="minorEastAsia"/>
          <w:spacing w:val="-2"/>
          <w:position w:val="-2"/>
          <w:sz w:val="24"/>
          <w:lang w:val="en-US" w:eastAsia="zh-CN"/>
        </w:rPr>
        <w:t>国家升学政策越来越有利于中等职业学校学生未来发展，通过参加自治区对口升学统一考试、高等院校组织的单独招生考试、技能大赛获奖免试入学等途径，学生都能轻松升入高等院校，</w:t>
      </w:r>
      <w:r>
        <w:rPr>
          <w:rFonts w:hint="eastAsia" w:cs="Arial" w:asciiTheme="minorEastAsia" w:hAnsiTheme="minorEastAsia" w:eastAsiaTheme="minorEastAsia"/>
          <w:spacing w:val="-2"/>
          <w:position w:val="-2"/>
          <w:sz w:val="24"/>
        </w:rPr>
        <w:t>升学人数明显增加。详见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年毕业生升学情况</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val="en-US" w:eastAsia="zh-CN"/>
        </w:rPr>
        <w:t>8</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cs="Arial" w:asciiTheme="minorEastAsia" w:hAnsiTheme="minorEastAsia" w:eastAsiaTheme="minorEastAsia"/>
          <w:spacing w:val="-2"/>
          <w:position w:val="-2"/>
          <w:sz w:val="24"/>
        </w:rPr>
        <w:t>表</w:t>
      </w:r>
      <w:r>
        <w:rPr>
          <w:rFonts w:hint="eastAsia"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lang w:val="en-US" w:eastAsia="zh-CN"/>
        </w:rPr>
        <w:t>8</w:t>
      </w:r>
      <w:r>
        <w:rPr>
          <w:rFonts w:cs="Arial" w:asciiTheme="minorEastAsia" w:hAnsiTheme="minorEastAsia" w:eastAsiaTheme="minorEastAsia"/>
          <w:spacing w:val="-2"/>
          <w:position w:val="-2"/>
          <w:sz w:val="24"/>
        </w:rPr>
        <w:t xml:space="preserve">   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年毕业生升学情况统计表</w:t>
      </w:r>
    </w:p>
    <w:tbl>
      <w:tblPr>
        <w:tblStyle w:val="1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275"/>
        <w:gridCol w:w="851"/>
        <w:gridCol w:w="1031"/>
        <w:gridCol w:w="953"/>
        <w:gridCol w:w="879"/>
        <w:gridCol w:w="970"/>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27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参考人数</w:t>
            </w:r>
          </w:p>
        </w:tc>
        <w:tc>
          <w:tcPr>
            <w:tcW w:w="85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本科</w:t>
            </w:r>
          </w:p>
        </w:tc>
        <w:tc>
          <w:tcPr>
            <w:tcW w:w="103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专科</w:t>
            </w:r>
          </w:p>
        </w:tc>
        <w:tc>
          <w:tcPr>
            <w:tcW w:w="95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单招</w:t>
            </w:r>
          </w:p>
        </w:tc>
        <w:tc>
          <w:tcPr>
            <w:tcW w:w="879"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3+2</w:t>
            </w:r>
          </w:p>
        </w:tc>
        <w:tc>
          <w:tcPr>
            <w:tcW w:w="97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合计</w:t>
            </w:r>
          </w:p>
        </w:tc>
        <w:tc>
          <w:tcPr>
            <w:tcW w:w="155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275"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354</w:t>
            </w:r>
          </w:p>
        </w:tc>
        <w:tc>
          <w:tcPr>
            <w:tcW w:w="85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103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114</w:t>
            </w:r>
          </w:p>
        </w:tc>
        <w:tc>
          <w:tcPr>
            <w:tcW w:w="9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236</w:t>
            </w:r>
          </w:p>
        </w:tc>
        <w:tc>
          <w:tcPr>
            <w:tcW w:w="879"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140</w:t>
            </w:r>
          </w:p>
        </w:tc>
        <w:tc>
          <w:tcPr>
            <w:tcW w:w="97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494</w:t>
            </w:r>
          </w:p>
        </w:tc>
        <w:tc>
          <w:tcPr>
            <w:tcW w:w="15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21</w:t>
            </w:r>
          </w:p>
        </w:tc>
        <w:tc>
          <w:tcPr>
            <w:tcW w:w="1275"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463</w:t>
            </w:r>
          </w:p>
        </w:tc>
        <w:tc>
          <w:tcPr>
            <w:tcW w:w="851"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w:t>
            </w:r>
          </w:p>
        </w:tc>
        <w:tc>
          <w:tcPr>
            <w:tcW w:w="1031"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87</w:t>
            </w:r>
          </w:p>
        </w:tc>
        <w:tc>
          <w:tcPr>
            <w:tcW w:w="953"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236</w:t>
            </w:r>
          </w:p>
        </w:tc>
        <w:tc>
          <w:tcPr>
            <w:tcW w:w="879"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132</w:t>
            </w:r>
          </w:p>
        </w:tc>
        <w:tc>
          <w:tcPr>
            <w:tcW w:w="970"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456</w:t>
            </w:r>
          </w:p>
        </w:tc>
        <w:tc>
          <w:tcPr>
            <w:tcW w:w="1553" w:type="dxa"/>
            <w:vAlign w:val="top"/>
          </w:tcPr>
          <w:p>
            <w:pPr>
              <w:widowControl/>
              <w:spacing w:beforeLines="0" w:afterLines="0"/>
              <w:jc w:val="center"/>
              <w:rPr>
                <w:rFonts w:hint="eastAsia" w:ascii="仿宋" w:hAnsi="仿宋" w:eastAsia="仿宋" w:cs="Arial"/>
                <w:color w:val="auto"/>
                <w:spacing w:val="-2"/>
                <w:kern w:val="2"/>
                <w:position w:val="-2"/>
                <w:sz w:val="24"/>
                <w:szCs w:val="21"/>
                <w:lang w:val="en-US" w:eastAsia="zh-CN" w:bidi="ar-SA"/>
              </w:rPr>
            </w:pPr>
            <w:r>
              <w:rPr>
                <w:rFonts w:hint="eastAsia" w:ascii="仿宋" w:hAnsi="仿宋" w:eastAsia="仿宋" w:cs="Arial"/>
                <w:color w:val="auto"/>
                <w:spacing w:val="-2"/>
                <w:position w:val="-2"/>
                <w:sz w:val="24"/>
                <w:szCs w:val="21"/>
              </w:rPr>
              <w:t>100%</w:t>
            </w:r>
          </w:p>
        </w:tc>
      </w:tr>
    </w:tbl>
    <w:p>
      <w:pPr>
        <w:widowControl/>
        <w:shd w:val="clear" w:color="auto" w:fill="FFFFFF"/>
        <w:ind w:firstLine="474" w:firstLineChars="200"/>
        <w:jc w:val="both"/>
        <w:rPr>
          <w:rFonts w:hint="eastAsia" w:cs="Arial" w:asciiTheme="majorEastAsia" w:hAnsiTheme="majorEastAsia" w:eastAsiaTheme="majorEastAsia"/>
          <w:b/>
          <w:spacing w:val="-2"/>
          <w:position w:val="-2"/>
          <w:sz w:val="24"/>
          <w:lang w:val="en-US" w:eastAsia="zh-CN"/>
        </w:rPr>
      </w:pPr>
    </w:p>
    <w:p>
      <w:pPr>
        <w:widowControl/>
        <w:shd w:val="clear" w:color="auto" w:fill="FFFFFF"/>
        <w:ind w:firstLine="474" w:firstLineChars="200"/>
        <w:jc w:val="both"/>
        <w:rPr>
          <w:rFonts w:hint="default" w:ascii="黑体" w:hAnsi="黑体" w:eastAsia="黑体"/>
          <w:spacing w:val="-2"/>
          <w:kern w:val="0"/>
          <w:position w:val="-2"/>
          <w:sz w:val="30"/>
          <w:szCs w:val="30"/>
          <w:lang w:val="en-US" w:eastAsia="zh-CN"/>
        </w:rPr>
      </w:pPr>
      <w:r>
        <w:rPr>
          <w:rFonts w:hint="eastAsia" w:cs="Arial" w:asciiTheme="majorEastAsia" w:hAnsiTheme="majorEastAsia" w:eastAsiaTheme="majorEastAsia"/>
          <w:b/>
          <w:spacing w:val="-2"/>
          <w:position w:val="-2"/>
          <w:sz w:val="24"/>
          <w:lang w:val="en-US" w:eastAsia="zh-CN"/>
        </w:rPr>
        <w:t>2.5职业发展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72" w:firstLineChars="200"/>
        <w:textAlignment w:val="auto"/>
        <w:rPr>
          <w:rFonts w:hint="eastAsia" w:cs="Arial" w:asciiTheme="majorEastAsia" w:hAnsiTheme="majorEastAsia" w:eastAsiaTheme="majorEastAsia"/>
          <w:b w:val="0"/>
          <w:bCs/>
          <w:color w:val="auto"/>
          <w:spacing w:val="-2"/>
          <w:position w:val="-2"/>
          <w:sz w:val="24"/>
          <w:lang w:val="en-US" w:eastAsia="zh-CN"/>
        </w:rPr>
      </w:pPr>
      <w:r>
        <w:rPr>
          <w:rFonts w:hint="eastAsia" w:cs="Arial" w:asciiTheme="majorEastAsia" w:hAnsiTheme="majorEastAsia" w:eastAsiaTheme="majorEastAsia"/>
          <w:b w:val="0"/>
          <w:bCs/>
          <w:color w:val="auto"/>
          <w:spacing w:val="-2"/>
          <w:position w:val="-2"/>
          <w:sz w:val="24"/>
          <w:lang w:val="en-US" w:eastAsia="zh-CN"/>
        </w:rPr>
        <w:t>为不断提高职业教育的适应性，学校为注重高等职业教育输送具有扎实技术技能基础和合格文化基础的生源。对升入高等职业院校学生的跟踪调查显示，学生在学校接受中等职业教育基础比较扎实，能很快适应高职学习，不论是专业理论课还是技术技能课都优于来自于其他学校的学生。有些学生升入高职学校后荣获“国家励志奖学金”；有部分学生入选高职技能大赛参赛团队并在省级以上大赛中获奖；有的学生高职毕业后升入本科院校继续深造。运动训练足球师资班有8名学生高职毕业后考上中小学体育教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72" w:firstLineChars="200"/>
        <w:textAlignment w:val="auto"/>
        <w:rPr>
          <w:rFonts w:hint="default" w:cs="Arial" w:asciiTheme="majorEastAsia" w:hAnsiTheme="majorEastAsia" w:eastAsiaTheme="majorEastAsia"/>
          <w:b w:val="0"/>
          <w:bCs/>
          <w:color w:val="auto"/>
          <w:spacing w:val="-2"/>
          <w:position w:val="-2"/>
          <w:sz w:val="24"/>
          <w:lang w:val="en-US" w:eastAsia="zh-CN"/>
        </w:rPr>
      </w:pPr>
      <w:r>
        <w:rPr>
          <w:rFonts w:hint="eastAsia" w:cs="Arial" w:asciiTheme="majorEastAsia" w:hAnsiTheme="majorEastAsia" w:eastAsiaTheme="majorEastAsia"/>
          <w:b w:val="0"/>
          <w:bCs/>
          <w:color w:val="auto"/>
          <w:spacing w:val="-2"/>
          <w:position w:val="-2"/>
          <w:sz w:val="24"/>
          <w:lang w:val="en-US" w:eastAsia="zh-CN"/>
        </w:rPr>
        <w:t>中餐烹饪和高星级饭店运营与管理有少部分学生中职毕业直接就业，就业单位是顶岗实习期间的企业。学生在实习期间有企业师傅指导和培养、企业文化潜移默化的影响，知晓了企业工作流程、管理制度，进入岗位后很快就能胜任工作。高星级饭店运营与管理专业学生刘贺冉毕业后进入上海西郊宾馆工作，通过层层选拔进入了上海第二届进口博览会各国首脑会谈服务团队，在第二届上海进博会上为各国元首会谈服务；学校高星级饭店运营与管理专业毕业生王若曦，王若曦丰富的接待经验，2020年，已做好万全准备的她经过层层筛选，从众多报名者中脱颖而出，光荣地加入了东湖集团国事礼仪团队，成为了为集团接待经营一体化高质量发展总体目标而打造的“三张名片”、“四支队伍”中的一员，为高规格的国事接待提供服务保障工作；贾歆然、张栋博，成功入选成为“上海东湖集团国事礼仪团队”后备队员。</w:t>
      </w:r>
    </w:p>
    <w:p>
      <w:pPr>
        <w:widowControl/>
        <w:shd w:val="clear" w:color="auto" w:fill="FFFFFF"/>
        <w:ind w:firstLine="472" w:firstLineChars="200"/>
        <w:jc w:val="center"/>
        <w:rPr>
          <w:rFonts w:hint="eastAsia" w:ascii="黑体" w:hAnsi="黑体" w:eastAsia="黑体"/>
          <w:spacing w:val="-2"/>
          <w:kern w:val="0"/>
          <w:position w:val="-2"/>
          <w:sz w:val="30"/>
          <w:szCs w:val="30"/>
        </w:rPr>
      </w:pPr>
      <w:r>
        <w:rPr>
          <w:rFonts w:cs="Arial" w:asciiTheme="minorEastAsia" w:hAnsiTheme="minorEastAsia" w:eastAsiaTheme="minorEastAsia"/>
          <w:spacing w:val="-2"/>
          <w:position w:val="-2"/>
          <w:sz w:val="24"/>
        </w:rPr>
        <w:drawing>
          <wp:inline distT="0" distB="0" distL="0" distR="0">
            <wp:extent cx="2477135" cy="3219450"/>
            <wp:effectExtent l="0" t="0" r="18415" b="0"/>
            <wp:docPr id="27" name="图片 27" descr="C:\Users\自强\AppData\Local\Temp\WeChat Files\6f6021f7b8676403c3084b860ebaf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自强\AppData\Local\Temp\WeChat Files\6f6021f7b8676403c3084b860ebaff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7135" cy="3219450"/>
                    </a:xfrm>
                    <a:prstGeom prst="rect">
                      <a:avLst/>
                    </a:prstGeom>
                    <a:noFill/>
                    <a:ln>
                      <a:noFill/>
                    </a:ln>
                  </pic:spPr>
                </pic:pic>
              </a:graphicData>
            </a:graphic>
          </wp:inline>
        </w:drawing>
      </w:r>
      <w:r>
        <w:rPr>
          <w:rFonts w:hint="eastAsia" w:ascii="黑体" w:hAnsi="黑体" w:eastAsia="黑体"/>
          <w:spacing w:val="-2"/>
          <w:kern w:val="0"/>
          <w:position w:val="-2"/>
          <w:sz w:val="30"/>
          <w:szCs w:val="30"/>
          <w:lang w:eastAsia="zh-CN"/>
        </w:rPr>
        <w:drawing>
          <wp:inline distT="0" distB="0" distL="114300" distR="114300">
            <wp:extent cx="2496185" cy="3214370"/>
            <wp:effectExtent l="0" t="0" r="18415" b="5080"/>
            <wp:docPr id="4" name="图片 4" descr="王若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若曦"/>
                    <pic:cNvPicPr>
                      <a:picLocks noChangeAspect="1"/>
                    </pic:cNvPicPr>
                  </pic:nvPicPr>
                  <pic:blipFill>
                    <a:blip r:embed="rId9"/>
                    <a:stretch>
                      <a:fillRect/>
                    </a:stretch>
                  </pic:blipFill>
                  <pic:spPr>
                    <a:xfrm>
                      <a:off x="0" y="0"/>
                      <a:ext cx="2496185" cy="3214370"/>
                    </a:xfrm>
                    <a:prstGeom prst="rect">
                      <a:avLst/>
                    </a:prstGeom>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827" w:firstLineChars="400"/>
        <w:jc w:val="left"/>
        <w:textAlignment w:val="auto"/>
        <w:rPr>
          <w:rFonts w:hint="eastAsia" w:cs="Arial" w:asciiTheme="minorEastAsia" w:hAnsiTheme="minorEastAsia" w:eastAsiaTheme="minorEastAsia"/>
          <w:b/>
          <w:spacing w:val="-2"/>
          <w:position w:val="-2"/>
          <w:lang w:val="en-US" w:eastAsia="zh-CN"/>
        </w:rPr>
      </w:pPr>
      <w:r>
        <w:rPr>
          <w:rFonts w:hint="eastAsia" w:cs="Arial" w:asciiTheme="minorEastAsia" w:hAnsiTheme="minorEastAsia" w:eastAsiaTheme="minorEastAsia"/>
          <w:b/>
          <w:spacing w:val="-2"/>
          <w:position w:val="-2"/>
        </w:rPr>
        <w:t>图</w:t>
      </w:r>
      <w:r>
        <w:rPr>
          <w:rFonts w:cs="Arial" w:asciiTheme="minorEastAsia" w:hAnsiTheme="minorEastAsia" w:eastAsiaTheme="minorEastAsia"/>
          <w:b/>
          <w:spacing w:val="-2"/>
          <w:position w:val="-2"/>
        </w:rPr>
        <w:t>2</w:t>
      </w:r>
      <w:r>
        <w:rPr>
          <w:rFonts w:hint="eastAsia" w:cs="Arial" w:asciiTheme="minorEastAsia" w:hAnsiTheme="minorEastAsia" w:eastAsiaTheme="minorEastAsia"/>
          <w:b/>
          <w:spacing w:val="-2"/>
          <w:position w:val="-2"/>
          <w:lang w:val="en-US" w:eastAsia="zh-CN"/>
        </w:rPr>
        <w:t xml:space="preserve"> - 9   </w:t>
      </w:r>
      <w:r>
        <w:rPr>
          <w:rFonts w:cs="Arial" w:asciiTheme="minorEastAsia" w:hAnsiTheme="minorEastAsia" w:eastAsiaTheme="minorEastAsia"/>
          <w:b/>
          <w:spacing w:val="-2"/>
          <w:position w:val="-2"/>
        </w:rPr>
        <w:t xml:space="preserve"> </w:t>
      </w:r>
      <w:r>
        <w:rPr>
          <w:rFonts w:hint="eastAsia" w:cs="Arial" w:asciiTheme="minorEastAsia" w:hAnsiTheme="minorEastAsia" w:eastAsiaTheme="minorEastAsia"/>
          <w:b/>
          <w:spacing w:val="-2"/>
          <w:position w:val="-2"/>
          <w:lang w:eastAsia="zh-CN"/>
        </w:rPr>
        <w:t>毕业生</w:t>
      </w:r>
      <w:r>
        <w:rPr>
          <w:rFonts w:hint="eastAsia" w:cs="Arial" w:asciiTheme="minorEastAsia" w:hAnsiTheme="minorEastAsia" w:eastAsiaTheme="minorEastAsia"/>
          <w:b/>
          <w:spacing w:val="-2"/>
          <w:position w:val="-2"/>
          <w:lang w:val="en-US" w:eastAsia="zh-CN"/>
        </w:rPr>
        <w:t>刘贺冉                          毕业生王若曦</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620" w:firstLineChars="300"/>
        <w:jc w:val="left"/>
        <w:textAlignment w:val="auto"/>
        <w:rPr>
          <w:rFonts w:hint="eastAsia" w:cs="Arial" w:asciiTheme="minorEastAsia" w:hAnsiTheme="minorEastAsia" w:eastAsiaTheme="minorEastAsia"/>
          <w:b/>
          <w:spacing w:val="-2"/>
          <w:position w:val="-2"/>
          <w:lang w:val="en-US" w:eastAsia="zh-CN"/>
        </w:rPr>
      </w:pPr>
      <w:r>
        <w:rPr>
          <w:rFonts w:hint="eastAsia" w:cs="Arial" w:asciiTheme="minorEastAsia" w:hAnsiTheme="minorEastAsia" w:eastAsiaTheme="minorEastAsia"/>
          <w:b/>
          <w:spacing w:val="-2"/>
          <w:position w:val="-2"/>
          <w:lang w:val="en-US" w:eastAsia="zh-CN"/>
        </w:rPr>
        <w:t>在第二届上海进博会上为各国元首会谈服务        上海兴国宾馆中餐厅领班</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5171" w:firstLineChars="2500"/>
        <w:jc w:val="left"/>
        <w:textAlignment w:val="auto"/>
        <w:rPr>
          <w:rFonts w:hint="default" w:cs="Arial" w:asciiTheme="minorEastAsia" w:hAnsiTheme="minorEastAsia" w:eastAsiaTheme="minorEastAsia"/>
          <w:b/>
          <w:spacing w:val="-2"/>
          <w:position w:val="-2"/>
          <w:lang w:val="en-US" w:eastAsia="zh-CN"/>
        </w:rPr>
      </w:pPr>
      <w:r>
        <w:rPr>
          <w:rFonts w:hint="eastAsia" w:cs="Arial" w:asciiTheme="minorEastAsia" w:hAnsiTheme="minorEastAsia" w:eastAsiaTheme="minorEastAsia"/>
          <w:b/>
          <w:spacing w:val="-2"/>
          <w:position w:val="-2"/>
          <w:lang w:val="en-US" w:eastAsia="zh-CN"/>
        </w:rPr>
        <w:t>上海东湖集团国事礼仪团队队员</w:t>
      </w:r>
    </w:p>
    <w:p>
      <w:pPr>
        <w:widowControl/>
        <w:shd w:val="clear" w:color="auto" w:fill="FFFFFF"/>
        <w:ind w:firstLine="592" w:firstLineChars="200"/>
        <w:jc w:val="center"/>
        <w:rPr>
          <w:rFonts w:hint="eastAsia" w:ascii="黑体" w:hAnsi="黑体" w:eastAsia="黑体"/>
          <w:spacing w:val="-2"/>
          <w:kern w:val="0"/>
          <w:position w:val="-2"/>
          <w:sz w:val="30"/>
          <w:szCs w:val="30"/>
          <w:lang w:eastAsia="zh-CN"/>
        </w:rPr>
      </w:pPr>
      <w:r>
        <w:rPr>
          <w:rFonts w:hint="eastAsia" w:ascii="黑体" w:hAnsi="黑体" w:eastAsia="黑体"/>
          <w:spacing w:val="-2"/>
          <w:kern w:val="0"/>
          <w:position w:val="-2"/>
          <w:sz w:val="30"/>
          <w:szCs w:val="30"/>
          <w:lang w:eastAsia="zh-CN"/>
        </w:rPr>
        <w:drawing>
          <wp:inline distT="0" distB="0" distL="114300" distR="114300">
            <wp:extent cx="2462530" cy="2920365"/>
            <wp:effectExtent l="0" t="0" r="13970" b="13335"/>
            <wp:docPr id="5" name="图片 5" descr="贾歆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贾歆然"/>
                    <pic:cNvPicPr>
                      <a:picLocks noChangeAspect="1"/>
                    </pic:cNvPicPr>
                  </pic:nvPicPr>
                  <pic:blipFill>
                    <a:blip r:embed="rId10"/>
                    <a:stretch>
                      <a:fillRect/>
                    </a:stretch>
                  </pic:blipFill>
                  <pic:spPr>
                    <a:xfrm>
                      <a:off x="0" y="0"/>
                      <a:ext cx="2462530" cy="2920365"/>
                    </a:xfrm>
                    <a:prstGeom prst="rect">
                      <a:avLst/>
                    </a:prstGeom>
                  </pic:spPr>
                </pic:pic>
              </a:graphicData>
            </a:graphic>
          </wp:inline>
        </w:drawing>
      </w:r>
      <w:r>
        <w:rPr>
          <w:rFonts w:hint="eastAsia" w:ascii="黑体" w:hAnsi="黑体" w:eastAsia="黑体"/>
          <w:spacing w:val="-2"/>
          <w:kern w:val="0"/>
          <w:position w:val="-2"/>
          <w:sz w:val="30"/>
          <w:szCs w:val="30"/>
          <w:lang w:eastAsia="zh-CN"/>
        </w:rPr>
        <w:drawing>
          <wp:inline distT="0" distB="0" distL="114300" distR="114300">
            <wp:extent cx="2433955" cy="2919730"/>
            <wp:effectExtent l="0" t="0" r="4445" b="13970"/>
            <wp:docPr id="6" name="图片 6" descr="张栋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张栋博"/>
                    <pic:cNvPicPr>
                      <a:picLocks noChangeAspect="1"/>
                    </pic:cNvPicPr>
                  </pic:nvPicPr>
                  <pic:blipFill>
                    <a:blip r:embed="rId11"/>
                    <a:stretch>
                      <a:fillRect/>
                    </a:stretch>
                  </pic:blipFill>
                  <pic:spPr>
                    <a:xfrm>
                      <a:off x="0" y="0"/>
                      <a:ext cx="2433955" cy="2919730"/>
                    </a:xfrm>
                    <a:prstGeom prst="rect">
                      <a:avLst/>
                    </a:prstGeom>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827" w:firstLineChars="400"/>
        <w:jc w:val="left"/>
        <w:textAlignment w:val="auto"/>
        <w:rPr>
          <w:rFonts w:hint="eastAsia" w:cs="Arial" w:asciiTheme="minorEastAsia" w:hAnsiTheme="minorEastAsia" w:eastAsiaTheme="minorEastAsia"/>
          <w:b/>
          <w:spacing w:val="-2"/>
          <w:position w:val="-2"/>
          <w:lang w:val="en-US" w:eastAsia="zh-CN"/>
        </w:rPr>
      </w:pPr>
      <w:r>
        <w:rPr>
          <w:rFonts w:hint="eastAsia" w:cs="Arial" w:asciiTheme="minorEastAsia" w:hAnsiTheme="minorEastAsia" w:eastAsiaTheme="minorEastAsia"/>
          <w:b/>
          <w:spacing w:val="-2"/>
          <w:position w:val="-2"/>
          <w:lang w:val="en-US" w:eastAsia="zh-CN"/>
        </w:rPr>
        <w:t>图2 - 10入选“上海东湖集团国事礼仪团队”后备队员</w:t>
      </w:r>
    </w:p>
    <w:p>
      <w:pPr>
        <w:keepNext w:val="0"/>
        <w:keepLines w:val="0"/>
        <w:pageBreakBefore w:val="0"/>
        <w:widowControl/>
        <w:shd w:val="clear" w:color="auto" w:fill="FFFFFF"/>
        <w:kinsoku/>
        <w:wordWrap/>
        <w:overflowPunct/>
        <w:topLinePunct w:val="0"/>
        <w:autoSpaceDE/>
        <w:autoSpaceDN/>
        <w:bidi w:val="0"/>
        <w:adjustRightInd/>
        <w:snapToGrid/>
        <w:spacing w:line="320" w:lineRule="exact"/>
        <w:ind w:firstLine="414" w:firstLineChars="200"/>
        <w:jc w:val="left"/>
        <w:textAlignment w:val="auto"/>
        <w:rPr>
          <w:rFonts w:hint="default" w:cs="Arial" w:asciiTheme="minorEastAsia" w:hAnsiTheme="minorEastAsia" w:eastAsiaTheme="minorEastAsia"/>
          <w:b/>
          <w:spacing w:val="-2"/>
          <w:position w:val="-2"/>
          <w:lang w:val="en-US" w:eastAsia="zh-CN"/>
        </w:rPr>
      </w:pPr>
    </w:p>
    <w:p>
      <w:pPr>
        <w:widowControl/>
        <w:shd w:val="clear" w:color="auto" w:fill="FFFFFF"/>
        <w:ind w:firstLine="592" w:firstLineChars="200"/>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第三部分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质量保障措施</w:t>
      </w:r>
    </w:p>
    <w:p>
      <w:pPr>
        <w:widowControl/>
        <w:shd w:val="clear" w:color="auto" w:fill="FFFFFF"/>
        <w:spacing w:line="440" w:lineRule="exact"/>
        <w:ind w:firstLine="474" w:firstLineChars="200"/>
        <w:rPr>
          <w:rFonts w:hint="eastAsia" w:cs="Arial" w:asciiTheme="majorEastAsia" w:hAnsiTheme="majorEastAsia" w:eastAsiaTheme="majorEastAsia"/>
          <w:b/>
          <w:spacing w:val="-2"/>
          <w:position w:val="-2"/>
          <w:sz w:val="24"/>
          <w:lang w:val="en-US" w:eastAsia="zh-CN"/>
        </w:rPr>
      </w:pPr>
      <w:r>
        <w:rPr>
          <w:rFonts w:hint="eastAsia" w:cs="Arial" w:asciiTheme="majorEastAsia" w:hAnsiTheme="majorEastAsia" w:eastAsiaTheme="majorEastAsia"/>
          <w:b/>
          <w:spacing w:val="-2"/>
          <w:position w:val="-2"/>
          <w:sz w:val="24"/>
        </w:rPr>
        <w:t>3.1</w:t>
      </w:r>
      <w:r>
        <w:rPr>
          <w:rFonts w:hint="eastAsia" w:cs="Arial" w:asciiTheme="majorEastAsia" w:hAnsiTheme="majorEastAsia" w:eastAsiaTheme="majorEastAsia"/>
          <w:b/>
          <w:spacing w:val="-2"/>
          <w:position w:val="-2"/>
          <w:sz w:val="24"/>
          <w:lang w:val="en-US" w:eastAsia="zh-CN"/>
        </w:rPr>
        <w:t xml:space="preserve"> 铸牢中华民族共同体意识</w:t>
      </w:r>
    </w:p>
    <w:p>
      <w:pPr>
        <w:widowControl/>
        <w:shd w:val="clear" w:color="auto" w:fill="FFFFFF"/>
        <w:spacing w:line="440" w:lineRule="exact"/>
        <w:ind w:firstLine="472" w:firstLineChars="200"/>
        <w:rPr>
          <w:rFonts w:hint="eastAsia" w:cs="Arial" w:asciiTheme="majorEastAsia" w:hAnsiTheme="majorEastAsia" w:eastAsiaTheme="majorEastAsia"/>
          <w:b w:val="0"/>
          <w:bCs/>
          <w:color w:val="auto"/>
          <w:spacing w:val="-2"/>
          <w:position w:val="-2"/>
          <w:sz w:val="24"/>
          <w:lang w:val="en-US" w:eastAsia="zh-CN"/>
        </w:rPr>
      </w:pPr>
      <w:r>
        <w:rPr>
          <w:rFonts w:hint="eastAsia" w:cs="Arial" w:asciiTheme="majorEastAsia" w:hAnsiTheme="majorEastAsia" w:eastAsiaTheme="majorEastAsia"/>
          <w:b w:val="0"/>
          <w:bCs/>
          <w:color w:val="auto"/>
          <w:spacing w:val="-2"/>
          <w:position w:val="-2"/>
          <w:sz w:val="24"/>
          <w:lang w:val="en-US" w:eastAsia="zh-CN"/>
        </w:rPr>
        <w:t>提高做好新时代民族工作的政治站位，贯彻落实</w:t>
      </w:r>
      <w:bookmarkStart w:id="9" w:name="_GoBack"/>
      <w:r>
        <w:rPr>
          <w:rFonts w:hint="eastAsia" w:cs="Arial" w:asciiTheme="majorEastAsia" w:hAnsiTheme="majorEastAsia" w:eastAsiaTheme="majorEastAsia"/>
          <w:b w:val="0"/>
          <w:bCs/>
          <w:color w:val="auto"/>
          <w:spacing w:val="-2"/>
          <w:position w:val="-2"/>
          <w:sz w:val="24"/>
          <w:lang w:val="en-US" w:eastAsia="zh-CN"/>
        </w:rPr>
        <w:t>习近平总书记关于加强和改进民族工作的重要思想</w:t>
      </w:r>
      <w:bookmarkEnd w:id="9"/>
      <w:r>
        <w:rPr>
          <w:rFonts w:hint="eastAsia" w:cs="Arial" w:asciiTheme="majorEastAsia" w:hAnsiTheme="majorEastAsia" w:eastAsiaTheme="majorEastAsia"/>
          <w:b w:val="0"/>
          <w:bCs/>
          <w:color w:val="auto"/>
          <w:spacing w:val="-2"/>
          <w:position w:val="-2"/>
          <w:sz w:val="24"/>
          <w:lang w:val="en-US" w:eastAsia="zh-CN"/>
        </w:rPr>
        <w:t>和重要指示精神，多措并举开展铸牢中华民族共同体意识活动。学校党委把铸牢中华民族共同体意识作为一项重要政治任务，制定铸牢中华民族共同体意识培训教育方案。组织专题培训会议，解读《关于全面深入持久开展民族团结进步创建工作铸牢中华民族共同体意识的意见》。收看“铸牢中华民族共同体意识专题”宣讲直播。发放宣传手册和读本。开展民族团结知识竞赛。组织党的民族理论政策和民族法律法规知识网络有奖竞答。组织师生参加“加强中华儿女大团结，铸牢中华民族共同体意识”主题绘画竞赛，7人获得优秀作品奖。贯彻落实自治区促进民族团结进步条例，为铸牢中华民族共同体意识教育工作打下坚实的基础。</w:t>
      </w:r>
    </w:p>
    <w:p>
      <w:pPr>
        <w:widowControl/>
        <w:shd w:val="clear" w:color="auto" w:fill="FFFFFF"/>
        <w:spacing w:line="440" w:lineRule="exact"/>
        <w:ind w:firstLine="472" w:firstLineChars="200"/>
        <w:rPr>
          <w:rFonts w:hint="eastAsia" w:cs="Arial" w:asciiTheme="majorEastAsia" w:hAnsiTheme="majorEastAsia" w:eastAsiaTheme="majorEastAsia"/>
          <w:b w:val="0"/>
          <w:bCs/>
          <w:color w:val="auto"/>
          <w:spacing w:val="-2"/>
          <w:position w:val="-2"/>
          <w:sz w:val="24"/>
          <w:lang w:val="en-US" w:eastAsia="zh-CN"/>
        </w:rPr>
      </w:pPr>
      <w:r>
        <w:rPr>
          <w:rFonts w:hint="eastAsia" w:cs="Arial" w:asciiTheme="majorEastAsia" w:hAnsiTheme="majorEastAsia" w:eastAsiaTheme="majorEastAsia"/>
          <w:b w:val="0"/>
          <w:bCs/>
          <w:color w:val="auto"/>
          <w:spacing w:val="-2"/>
          <w:position w:val="-2"/>
          <w:sz w:val="24"/>
          <w:lang w:val="en-US" w:eastAsia="zh-CN"/>
        </w:rPr>
        <w:t>全面推进思政课程建设，加强学校思想政治理论课教师队伍建设。配齐配足思政课教师，现有思政课教师九人。以国赛标准建设一支思政创新团队。积极组织教师参加线上线下思政新教材培训。开展公开课、优质课等教研活动。严格按标准按要求开齐开足职业生涯规划、职业道德与法、经济政治与社会、哲学与人生等思政课程。积极推进课程思政建设，开展国学进课堂活动，充分利用课前德育三分钟，对学生进行中国梦教育、社会主义核心价值观教育、劳动教育、中华优秀传统文化教育。</w:t>
      </w:r>
    </w:p>
    <w:p>
      <w:pPr>
        <w:widowControl/>
        <w:shd w:val="clear" w:color="auto" w:fill="FFFFFF"/>
        <w:spacing w:line="440" w:lineRule="exact"/>
        <w:ind w:firstLine="472" w:firstLineChars="200"/>
        <w:rPr>
          <w:rFonts w:hint="eastAsia" w:cs="Arial" w:asciiTheme="majorEastAsia" w:hAnsiTheme="majorEastAsia" w:eastAsiaTheme="majorEastAsia"/>
          <w:b w:val="0"/>
          <w:bCs/>
          <w:color w:val="auto"/>
          <w:spacing w:val="-2"/>
          <w:position w:val="-2"/>
          <w:sz w:val="24"/>
          <w:lang w:val="en-US" w:eastAsia="zh-CN"/>
        </w:rPr>
      </w:pPr>
      <w:r>
        <w:rPr>
          <w:rFonts w:hint="eastAsia" w:cs="Arial" w:asciiTheme="majorEastAsia" w:hAnsiTheme="majorEastAsia" w:eastAsiaTheme="majorEastAsia"/>
          <w:b w:val="0"/>
          <w:bCs/>
          <w:color w:val="auto"/>
          <w:spacing w:val="-2"/>
          <w:position w:val="-2"/>
          <w:sz w:val="24"/>
          <w:lang w:val="en-US" w:eastAsia="zh-CN"/>
        </w:rPr>
        <w:t>贯彻落实党的教育方针，落实立德树人的根本任务。学校党委认真履行把方向、管大局、作决策、抓班子、带队伍、保落实的领导职责，坚持党对思政课建设的全面领导，把加强和改进思政课建设摆在突出位置，把学校思想政治工作紧紧抓在手上，推动各类课程与思政课建设形成协同效应。坚持思政课建设与党的创新理论武装同步推进，全面推动习近平新时代中国特色社会主义思想进课堂进教材进学生头脑。充分利用传统节日庆祝活动、社团活动、文体活动、演讲比赛、党史微课堂等，把弘扬社会主义核心价值观贯穿到教育的每个环节，培养学生爱国、爱社会主义、爱人民、爱集体的情感。</w:t>
      </w:r>
    </w:p>
    <w:p>
      <w:pPr>
        <w:widowControl/>
        <w:shd w:val="clear" w:color="auto" w:fill="FFFFFF"/>
        <w:spacing w:line="440" w:lineRule="exact"/>
        <w:ind w:firstLine="474" w:firstLineChars="200"/>
        <w:rPr>
          <w:rFonts w:hint="eastAsia" w:cs="Arial" w:asciiTheme="majorEastAsia" w:hAnsiTheme="majorEastAsia" w:eastAsiaTheme="majorEastAsia"/>
          <w:b/>
          <w:spacing w:val="-2"/>
          <w:position w:val="-2"/>
          <w:sz w:val="24"/>
          <w:lang w:eastAsia="zh-CN"/>
        </w:rPr>
      </w:pPr>
      <w:r>
        <w:rPr>
          <w:rFonts w:hint="eastAsia" w:cs="Arial" w:asciiTheme="majorEastAsia" w:hAnsiTheme="majorEastAsia" w:eastAsiaTheme="majorEastAsia"/>
          <w:b/>
          <w:spacing w:val="-2"/>
          <w:position w:val="-2"/>
          <w:sz w:val="24"/>
          <w:lang w:val="en-US" w:eastAsia="zh-CN"/>
        </w:rPr>
        <w:t xml:space="preserve">3.2 </w:t>
      </w:r>
      <w:r>
        <w:rPr>
          <w:rFonts w:hint="eastAsia" w:cs="Arial" w:asciiTheme="majorEastAsia" w:hAnsiTheme="majorEastAsia" w:eastAsiaTheme="majorEastAsia"/>
          <w:b/>
          <w:spacing w:val="-2"/>
          <w:position w:val="-2"/>
          <w:sz w:val="24"/>
        </w:rPr>
        <w:t>专业</w:t>
      </w:r>
      <w:r>
        <w:rPr>
          <w:rFonts w:hint="eastAsia" w:cs="Arial" w:asciiTheme="majorEastAsia" w:hAnsiTheme="majorEastAsia" w:eastAsiaTheme="majorEastAsia"/>
          <w:b/>
          <w:spacing w:val="-2"/>
          <w:position w:val="-2"/>
          <w:sz w:val="24"/>
          <w:lang w:eastAsia="zh-CN"/>
        </w:rPr>
        <w:t>布局</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bCs/>
          <w:spacing w:val="-2"/>
          <w:position w:val="-2"/>
          <w:sz w:val="24"/>
        </w:rPr>
        <w:t>坚持以服务发</w:t>
      </w:r>
      <w:r>
        <w:rPr>
          <w:rFonts w:cs="Arial" w:asciiTheme="majorEastAsia" w:hAnsiTheme="majorEastAsia" w:eastAsiaTheme="majorEastAsia"/>
          <w:bCs/>
          <w:spacing w:val="-2"/>
          <w:position w:val="-2"/>
          <w:sz w:val="24"/>
        </w:rPr>
        <w:t>展</w:t>
      </w:r>
      <w:r>
        <w:rPr>
          <w:rFonts w:hint="eastAsia" w:cs="Arial" w:asciiTheme="majorEastAsia" w:hAnsiTheme="majorEastAsia" w:eastAsiaTheme="majorEastAsia"/>
          <w:bCs/>
          <w:spacing w:val="-2"/>
          <w:position w:val="-2"/>
          <w:sz w:val="24"/>
        </w:rPr>
        <w:t>为宗旨，以促</w:t>
      </w:r>
      <w:r>
        <w:rPr>
          <w:rFonts w:cs="Arial" w:asciiTheme="majorEastAsia" w:hAnsiTheme="majorEastAsia" w:eastAsiaTheme="majorEastAsia"/>
          <w:bCs/>
          <w:spacing w:val="-2"/>
          <w:position w:val="-2"/>
          <w:sz w:val="24"/>
        </w:rPr>
        <w:t>进就业为导向，以提升</w:t>
      </w:r>
      <w:r>
        <w:rPr>
          <w:rFonts w:hint="eastAsia" w:cs="Arial" w:asciiTheme="majorEastAsia" w:hAnsiTheme="majorEastAsia" w:eastAsiaTheme="majorEastAsia"/>
          <w:bCs/>
          <w:spacing w:val="-2"/>
          <w:position w:val="-2"/>
          <w:sz w:val="24"/>
        </w:rPr>
        <w:t>能力为本位，升学就业两手抓，优质特色两兼顾，着力培养勇于创新、技能突出的复合型性人才。以重点建设专业为龙头，以特色项目建设为依托，以人才培养模式和课程体系及课程改革为切入点和突破口，带动校内外实训基地建设、“双师”素质教学团队建设，突出“双元育人”办学特色，创新培养模式，提高教育质量，提升管理水平，增强服务能力，做发展的示范、改革的示范和管理的示范。按照“做强骨干专业、做优特色专业、改造传统专业、拓展新兴专业”的原则，</w:t>
      </w:r>
      <w:r>
        <w:rPr>
          <w:rFonts w:cs="Arial" w:asciiTheme="majorEastAsia" w:hAnsiTheme="majorEastAsia" w:eastAsiaTheme="majorEastAsia"/>
          <w:bCs/>
          <w:spacing w:val="-2"/>
          <w:position w:val="-2"/>
          <w:sz w:val="24"/>
        </w:rPr>
        <w:t>引进北空通用航空科技有限公司进校联合建设无人机实训基地</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lang w:val="en-US" w:eastAsia="zh-CN"/>
        </w:rPr>
        <w:t>共建“无人机操控与维护”专业</w:t>
      </w:r>
      <w:r>
        <w:rPr>
          <w:rFonts w:hint="eastAsia" w:cs="Arial" w:asciiTheme="majorEastAsia" w:hAnsiTheme="majorEastAsia" w:eastAsiaTheme="majorEastAsia"/>
          <w:bCs/>
          <w:spacing w:val="-2"/>
          <w:position w:val="-2"/>
          <w:sz w:val="24"/>
          <w:lang w:eastAsia="zh-CN"/>
        </w:rPr>
        <w:t>，</w:t>
      </w:r>
      <w:r>
        <w:rPr>
          <w:rFonts w:cs="Arial" w:asciiTheme="majorEastAsia" w:hAnsiTheme="majorEastAsia" w:eastAsiaTheme="majorEastAsia"/>
          <w:bCs/>
          <w:spacing w:val="-2"/>
          <w:position w:val="-2"/>
          <w:sz w:val="24"/>
        </w:rPr>
        <w:t>学校与青岛海尔集团进行校企合作</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lang w:val="en-US" w:eastAsia="zh-CN"/>
        </w:rPr>
        <w:t>建设智能家居实训基地，共建</w:t>
      </w:r>
      <w:r>
        <w:rPr>
          <w:rFonts w:cs="Arial" w:asciiTheme="majorEastAsia" w:hAnsiTheme="majorEastAsia" w:eastAsiaTheme="majorEastAsia"/>
          <w:bCs/>
          <w:spacing w:val="-2"/>
          <w:position w:val="-2"/>
          <w:sz w:val="24"/>
        </w:rPr>
        <w:t>“物联网技术应用”专业；与</w:t>
      </w:r>
      <w:r>
        <w:rPr>
          <w:rFonts w:hint="eastAsia" w:cs="Arial" w:asciiTheme="majorEastAsia" w:hAnsiTheme="majorEastAsia" w:eastAsiaTheme="majorEastAsia"/>
          <w:bCs/>
          <w:spacing w:val="-2"/>
          <w:position w:val="-2"/>
          <w:sz w:val="24"/>
        </w:rPr>
        <w:t>红山</w:t>
      </w:r>
      <w:r>
        <w:rPr>
          <w:rFonts w:cs="Arial" w:asciiTheme="majorEastAsia" w:hAnsiTheme="majorEastAsia" w:eastAsiaTheme="majorEastAsia"/>
          <w:bCs/>
          <w:spacing w:val="-2"/>
          <w:position w:val="-2"/>
          <w:sz w:val="24"/>
        </w:rPr>
        <w:t>高新技术产业园区——医药产业园进行校企合作，</w:t>
      </w:r>
      <w:r>
        <w:rPr>
          <w:rFonts w:hint="eastAsia" w:cs="Arial" w:asciiTheme="majorEastAsia" w:hAnsiTheme="majorEastAsia" w:eastAsiaTheme="majorEastAsia"/>
          <w:bCs/>
          <w:spacing w:val="-2"/>
          <w:position w:val="-2"/>
          <w:sz w:val="24"/>
          <w:lang w:val="en-US" w:eastAsia="zh-CN"/>
        </w:rPr>
        <w:t>共建</w:t>
      </w:r>
      <w:r>
        <w:rPr>
          <w:rFonts w:cs="Arial" w:asciiTheme="majorEastAsia" w:hAnsiTheme="majorEastAsia" w:eastAsiaTheme="majorEastAsia"/>
          <w:bCs/>
          <w:spacing w:val="-2"/>
          <w:position w:val="-2"/>
          <w:sz w:val="24"/>
        </w:rPr>
        <w:t>“制药设备维修”专业</w:t>
      </w:r>
      <w:r>
        <w:rPr>
          <w:rFonts w:hint="eastAsia" w:cs="Arial" w:asciiTheme="majorEastAsia" w:hAnsiTheme="majorEastAsia" w:eastAsiaTheme="majorEastAsia"/>
          <w:bCs/>
          <w:spacing w:val="-2"/>
          <w:position w:val="-2"/>
          <w:sz w:val="24"/>
          <w:lang w:eastAsia="zh-CN"/>
        </w:rPr>
        <w:t>。</w:t>
      </w:r>
    </w:p>
    <w:p>
      <w:pPr>
        <w:widowControl/>
        <w:shd w:val="clear" w:color="auto" w:fill="FFFFFF"/>
        <w:spacing w:line="440" w:lineRule="exact"/>
        <w:ind w:firstLine="474" w:firstLineChars="200"/>
        <w:rPr>
          <w:rFonts w:hint="eastAsia"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3</w:t>
      </w:r>
      <w:r>
        <w:rPr>
          <w:rFonts w:hint="eastAsia" w:cs="Arial" w:asciiTheme="majorEastAsia" w:hAnsiTheme="majorEastAsia" w:eastAsiaTheme="majorEastAsia"/>
          <w:b/>
          <w:spacing w:val="-2"/>
          <w:position w:val="-2"/>
          <w:sz w:val="24"/>
        </w:rPr>
        <w:t>教育教学改革</w:t>
      </w:r>
    </w:p>
    <w:p>
      <w:pPr>
        <w:widowControl/>
        <w:shd w:val="clear" w:color="auto" w:fill="FFFFFF"/>
        <w:spacing w:line="440" w:lineRule="exact"/>
        <w:ind w:left="470" w:leftChars="224"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3</w:t>
      </w:r>
      <w:r>
        <w:rPr>
          <w:rFonts w:hint="eastAsia" w:cs="Arial" w:asciiTheme="majorEastAsia" w:hAnsiTheme="majorEastAsia" w:eastAsiaTheme="majorEastAsia"/>
          <w:b/>
          <w:spacing w:val="-2"/>
          <w:position w:val="-2"/>
          <w:sz w:val="24"/>
        </w:rPr>
        <w:t>.1教育教学改革工作情况</w:t>
      </w:r>
    </w:p>
    <w:p>
      <w:pPr>
        <w:widowControl/>
        <w:shd w:val="clear" w:color="auto" w:fill="FFFFFF"/>
        <w:spacing w:line="440" w:lineRule="exact"/>
        <w:ind w:left="1"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学校稳步推进学校的课程体系的改革与建设。</w:t>
      </w:r>
      <w:r>
        <w:rPr>
          <w:rFonts w:hint="eastAsia" w:cs="Arial" w:asciiTheme="majorEastAsia" w:hAnsiTheme="majorEastAsia" w:eastAsiaTheme="majorEastAsia"/>
          <w:spacing w:val="-2"/>
          <w:position w:val="-2"/>
          <w:sz w:val="24"/>
          <w:lang w:eastAsia="zh-CN"/>
        </w:rPr>
        <w:t>按国家专业教学标准基本开齐开足了所要求的公共基础课，适应区域经济社会发展和产业调整转型升级改造，建立了专业设置动态调整机制，停办了就业前景差、用工需求小的专业。新增加了服务国家战略、服务地方发展、开展技术研发、服务行业企业的新专业。</w:t>
      </w:r>
      <w:r>
        <w:rPr>
          <w:rFonts w:hint="eastAsia" w:cs="Arial" w:asciiTheme="majorEastAsia" w:hAnsiTheme="majorEastAsia" w:eastAsiaTheme="majorEastAsia"/>
          <w:spacing w:val="-2"/>
          <w:position w:val="-2"/>
          <w:sz w:val="24"/>
        </w:rPr>
        <w:t>课程体系建设</w:t>
      </w:r>
      <w:r>
        <w:rPr>
          <w:rFonts w:hint="eastAsia" w:cs="Arial" w:asciiTheme="majorEastAsia" w:hAnsiTheme="majorEastAsia" w:eastAsiaTheme="majorEastAsia"/>
          <w:spacing w:val="-2"/>
          <w:position w:val="-2"/>
          <w:sz w:val="24"/>
          <w:lang w:eastAsia="zh-CN"/>
        </w:rPr>
        <w:t>围绕</w:t>
      </w:r>
      <w:r>
        <w:rPr>
          <w:rFonts w:hint="eastAsia" w:cs="Arial" w:asciiTheme="majorEastAsia" w:hAnsiTheme="majorEastAsia" w:eastAsiaTheme="majorEastAsia"/>
          <w:spacing w:val="-2"/>
          <w:position w:val="-2"/>
          <w:sz w:val="24"/>
        </w:rPr>
        <w:t>“因材施教、按需施教”</w:t>
      </w:r>
      <w:r>
        <w:rPr>
          <w:rFonts w:hint="eastAsia" w:cs="Arial" w:asciiTheme="majorEastAsia" w:hAnsiTheme="majorEastAsia" w:eastAsiaTheme="majorEastAsia"/>
          <w:spacing w:val="-2"/>
          <w:position w:val="-2"/>
          <w:sz w:val="24"/>
          <w:lang w:eastAsia="zh-CN"/>
        </w:rPr>
        <w:t>、</w:t>
      </w:r>
      <w:r>
        <w:rPr>
          <w:rFonts w:hint="eastAsia" w:cs="Arial" w:asciiTheme="majorEastAsia" w:hAnsiTheme="majorEastAsia" w:eastAsiaTheme="majorEastAsia"/>
          <w:spacing w:val="-2"/>
          <w:position w:val="-2"/>
          <w:sz w:val="24"/>
          <w:lang w:val="en-US" w:eastAsia="zh-CN"/>
        </w:rPr>
        <w:t>1+X证书制度试点</w:t>
      </w:r>
      <w:r>
        <w:rPr>
          <w:rFonts w:hint="eastAsia" w:cs="Arial" w:asciiTheme="majorEastAsia" w:hAnsiTheme="majorEastAsia" w:eastAsiaTheme="majorEastAsia"/>
          <w:spacing w:val="-2"/>
          <w:position w:val="-2"/>
          <w:sz w:val="24"/>
        </w:rPr>
        <w:t>要求，所有专业</w:t>
      </w:r>
      <w:r>
        <w:rPr>
          <w:rFonts w:hint="eastAsia" w:cs="Arial" w:asciiTheme="majorEastAsia" w:hAnsiTheme="majorEastAsia" w:eastAsiaTheme="majorEastAsia"/>
          <w:spacing w:val="-2"/>
          <w:position w:val="-2"/>
          <w:sz w:val="24"/>
          <w:lang w:eastAsia="zh-CN"/>
        </w:rPr>
        <w:t>已经完成</w:t>
      </w:r>
      <w:r>
        <w:rPr>
          <w:rFonts w:hint="eastAsia" w:cs="Arial" w:asciiTheme="majorEastAsia" w:hAnsiTheme="majorEastAsia" w:eastAsiaTheme="majorEastAsia"/>
          <w:spacing w:val="-2"/>
          <w:position w:val="-2"/>
          <w:sz w:val="24"/>
        </w:rPr>
        <w:t>的</w:t>
      </w:r>
      <w:r>
        <w:rPr>
          <w:rFonts w:hint="eastAsia" w:cs="Arial" w:asciiTheme="majorEastAsia" w:hAnsiTheme="majorEastAsia" w:eastAsiaTheme="majorEastAsia"/>
          <w:spacing w:val="-2"/>
          <w:position w:val="-2"/>
          <w:sz w:val="24"/>
          <w:lang w:eastAsia="zh-CN"/>
        </w:rPr>
        <w:t>人才培养方案</w:t>
      </w:r>
      <w:r>
        <w:rPr>
          <w:rFonts w:hint="eastAsia" w:cs="Arial" w:asciiTheme="majorEastAsia" w:hAnsiTheme="majorEastAsia" w:eastAsiaTheme="majorEastAsia"/>
          <w:spacing w:val="-2"/>
          <w:position w:val="-2"/>
          <w:sz w:val="24"/>
        </w:rPr>
        <w:t>修订，</w:t>
      </w:r>
      <w:r>
        <w:rPr>
          <w:rFonts w:hint="eastAsia" w:cs="Arial" w:asciiTheme="majorEastAsia" w:hAnsiTheme="majorEastAsia" w:eastAsiaTheme="majorEastAsia"/>
          <w:spacing w:val="-2"/>
          <w:position w:val="-2"/>
          <w:sz w:val="24"/>
          <w:lang w:eastAsia="zh-CN"/>
        </w:rPr>
        <w:t>将</w:t>
      </w:r>
      <w:r>
        <w:rPr>
          <w:rFonts w:hint="eastAsia" w:cs="Arial" w:asciiTheme="majorEastAsia" w:hAnsiTheme="majorEastAsia" w:eastAsiaTheme="majorEastAsia"/>
          <w:spacing w:val="-2"/>
          <w:position w:val="-2"/>
          <w:sz w:val="24"/>
        </w:rPr>
        <w:t>参与认证</w:t>
      </w:r>
      <w:r>
        <w:rPr>
          <w:rFonts w:hint="eastAsia" w:cs="Arial" w:asciiTheme="majorEastAsia" w:hAnsiTheme="majorEastAsia" w:eastAsiaTheme="majorEastAsia"/>
          <w:spacing w:val="-2"/>
          <w:position w:val="-2"/>
          <w:sz w:val="24"/>
          <w:lang w:eastAsia="zh-CN"/>
        </w:rPr>
        <w:t>职业技能等级</w:t>
      </w:r>
      <w:r>
        <w:rPr>
          <w:rFonts w:hint="eastAsia" w:cs="Arial" w:asciiTheme="majorEastAsia" w:hAnsiTheme="majorEastAsia" w:eastAsiaTheme="majorEastAsia"/>
          <w:spacing w:val="-2"/>
          <w:position w:val="-2"/>
          <w:sz w:val="24"/>
        </w:rPr>
        <w:t>证书考核</w:t>
      </w:r>
      <w:r>
        <w:rPr>
          <w:rFonts w:hint="eastAsia" w:cs="Arial" w:asciiTheme="majorEastAsia" w:hAnsiTheme="majorEastAsia" w:eastAsiaTheme="majorEastAsia"/>
          <w:spacing w:val="-2"/>
          <w:position w:val="-2"/>
          <w:sz w:val="24"/>
          <w:lang w:eastAsia="zh-CN"/>
        </w:rPr>
        <w:t>的</w:t>
      </w:r>
      <w:r>
        <w:rPr>
          <w:rFonts w:hint="eastAsia" w:cs="Arial" w:asciiTheme="majorEastAsia" w:hAnsiTheme="majorEastAsia" w:eastAsiaTheme="majorEastAsia"/>
          <w:spacing w:val="-2"/>
          <w:position w:val="-2"/>
          <w:sz w:val="24"/>
        </w:rPr>
        <w:t>相关知识和技能已经进入课程体系</w:t>
      </w:r>
      <w:r>
        <w:rPr>
          <w:rFonts w:hint="eastAsia" w:cs="Arial" w:asciiTheme="majorEastAsia" w:hAnsiTheme="majorEastAsia" w:eastAsiaTheme="majorEastAsia"/>
          <w:spacing w:val="-2"/>
          <w:position w:val="-2"/>
          <w:sz w:val="24"/>
          <w:lang w:eastAsia="zh-CN"/>
        </w:rPr>
        <w:t>，体现课证融合教育，</w:t>
      </w:r>
      <w:r>
        <w:rPr>
          <w:rFonts w:hint="eastAsia" w:cs="Arial" w:asciiTheme="majorEastAsia" w:hAnsiTheme="majorEastAsia" w:eastAsiaTheme="majorEastAsia"/>
          <w:spacing w:val="-2"/>
          <w:position w:val="-2"/>
          <w:sz w:val="24"/>
        </w:rPr>
        <w:t>教学工作更加有章可循。积极推进现代学徒制试点工作，结合专业实际改革教学模式，推行以“</w:t>
      </w:r>
      <w:r>
        <w:rPr>
          <w:rFonts w:hint="eastAsia" w:cs="Arial" w:asciiTheme="majorEastAsia" w:hAnsiTheme="majorEastAsia" w:eastAsiaTheme="majorEastAsia"/>
          <w:spacing w:val="-2"/>
          <w:position w:val="-2"/>
          <w:sz w:val="24"/>
          <w:lang w:eastAsia="zh-CN"/>
        </w:rPr>
        <w:t>项目教学</w:t>
      </w:r>
      <w:r>
        <w:rPr>
          <w:rFonts w:hint="eastAsia" w:cs="Arial" w:asciiTheme="majorEastAsia" w:hAnsiTheme="majorEastAsia" w:eastAsiaTheme="majorEastAsia"/>
          <w:spacing w:val="-2"/>
          <w:position w:val="-2"/>
          <w:sz w:val="24"/>
        </w:rPr>
        <w:t>、情境教学、模块教学”为主的、适合职业教育规律的教学方法。学校积极创新办学模式，探索校企双元育人、冠名班培养、工学交替的教学模式，学生定期到合作企业进行识岗、跟岗、顶岗实习，企业选派资深员工担任师傅进行岗位教学与实践，现代学徒制落到了实处。</w:t>
      </w:r>
      <w:r>
        <w:rPr>
          <w:rFonts w:cs="Arial" w:asciiTheme="majorEastAsia" w:hAnsiTheme="majorEastAsia" w:eastAsiaTheme="majorEastAsia"/>
          <w:bCs/>
          <w:spacing w:val="-2"/>
          <w:position w:val="-2"/>
          <w:sz w:val="24"/>
        </w:rPr>
        <w:t>开展了丰富多彩</w:t>
      </w:r>
      <w:r>
        <w:rPr>
          <w:rFonts w:hint="eastAsia" w:cs="Arial" w:asciiTheme="majorEastAsia" w:hAnsiTheme="majorEastAsia" w:eastAsiaTheme="majorEastAsia"/>
          <w:bCs/>
          <w:spacing w:val="-2"/>
          <w:position w:val="-2"/>
          <w:sz w:val="24"/>
        </w:rPr>
        <w:t>的专业课</w:t>
      </w:r>
      <w:r>
        <w:rPr>
          <w:rFonts w:cs="Arial" w:asciiTheme="majorEastAsia" w:hAnsiTheme="majorEastAsia" w:eastAsiaTheme="majorEastAsia"/>
          <w:bCs/>
          <w:spacing w:val="-2"/>
          <w:position w:val="-2"/>
          <w:sz w:val="24"/>
        </w:rPr>
        <w:t>教学活动，</w:t>
      </w:r>
      <w:r>
        <w:rPr>
          <w:rFonts w:hint="eastAsia" w:cs="Arial" w:asciiTheme="majorEastAsia" w:hAnsiTheme="majorEastAsia" w:eastAsiaTheme="majorEastAsia"/>
          <w:bCs/>
          <w:spacing w:val="-2"/>
          <w:position w:val="-2"/>
          <w:sz w:val="24"/>
          <w:lang w:val="en-US" w:eastAsia="zh-CN"/>
        </w:rPr>
        <w:t>组织</w:t>
      </w:r>
      <w:r>
        <w:rPr>
          <w:rFonts w:hint="eastAsia" w:cs="Arial" w:asciiTheme="majorEastAsia" w:hAnsiTheme="majorEastAsia" w:eastAsiaTheme="majorEastAsia"/>
          <w:bCs/>
          <w:spacing w:val="-2"/>
          <w:position w:val="-2"/>
          <w:sz w:val="24"/>
        </w:rPr>
        <w:t>开展校内教师公开课</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rPr>
        <w:t>全校出公开课</w:t>
      </w:r>
      <w:r>
        <w:rPr>
          <w:rFonts w:hint="eastAsia" w:cs="Arial" w:asciiTheme="majorEastAsia" w:hAnsiTheme="majorEastAsia" w:eastAsiaTheme="majorEastAsia"/>
          <w:bCs/>
          <w:spacing w:val="-2"/>
          <w:position w:val="-2"/>
          <w:sz w:val="24"/>
          <w:lang w:val="en-US" w:eastAsia="zh-CN"/>
        </w:rPr>
        <w:t>58</w:t>
      </w:r>
      <w:r>
        <w:rPr>
          <w:rFonts w:hint="eastAsia" w:cs="Arial" w:asciiTheme="majorEastAsia" w:hAnsiTheme="majorEastAsia" w:eastAsiaTheme="majorEastAsia"/>
          <w:bCs/>
          <w:spacing w:val="-2"/>
          <w:position w:val="-2"/>
          <w:sz w:val="24"/>
        </w:rPr>
        <w:t>节，工艺美术专业举办“</w:t>
      </w:r>
      <w:r>
        <w:rPr>
          <w:rFonts w:hint="eastAsia" w:cs="Arial" w:asciiTheme="majorEastAsia" w:hAnsiTheme="majorEastAsia" w:eastAsiaTheme="majorEastAsia"/>
          <w:bCs/>
          <w:spacing w:val="-2"/>
          <w:position w:val="-2"/>
          <w:sz w:val="24"/>
          <w:lang w:eastAsia="zh-CN"/>
        </w:rPr>
        <w:t>庆祝建党100周年</w:t>
      </w:r>
      <w:r>
        <w:rPr>
          <w:rFonts w:hint="eastAsia" w:cs="Arial" w:asciiTheme="majorEastAsia" w:hAnsiTheme="majorEastAsia" w:eastAsiaTheme="majorEastAsia"/>
          <w:bCs/>
          <w:spacing w:val="-2"/>
          <w:position w:val="-2"/>
          <w:sz w:val="24"/>
        </w:rPr>
        <w:t>”师生书画展活动；学前专业开展以“书香校园”为主题的诗朗诵、童话剧、故事会、读书交流活动</w:t>
      </w:r>
      <w:r>
        <w:rPr>
          <w:rFonts w:hint="eastAsia" w:cs="Arial" w:asciiTheme="majorEastAsia" w:hAnsiTheme="majorEastAsia" w:eastAsiaTheme="majorEastAsia"/>
          <w:bCs/>
          <w:spacing w:val="-2"/>
          <w:position w:val="-2"/>
          <w:sz w:val="24"/>
          <w:lang w:eastAsia="zh-CN"/>
        </w:rPr>
        <w:t>。</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3</w:t>
      </w:r>
      <w:r>
        <w:rPr>
          <w:rFonts w:hint="eastAsia" w:cs="Arial" w:asciiTheme="majorEastAsia" w:hAnsiTheme="majorEastAsia" w:eastAsiaTheme="majorEastAsia"/>
          <w:b/>
          <w:spacing w:val="-2"/>
          <w:position w:val="-2"/>
          <w:sz w:val="24"/>
        </w:rPr>
        <w:t>.2教学资源</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bCs/>
          <w:spacing w:val="-2"/>
          <w:position w:val="-2"/>
          <w:sz w:val="24"/>
        </w:rPr>
        <w:t>学校坚持走“引企入校、产教深度融合、集团化办学”之路，高度重视专业建设，创新人才培养方式，积极推进教学改革。通过改变培养模式、教学模式和评价方式，实现了学校与工厂融合，教室与车间融合，教师与师傅融合，学生与学徒融合，理论与实践融合，作品与产品融合。大力培育学校文化，提炼总结赤峰一职精神，建设师生美好的精神家园。赤峰、北京等地的名人字画遍布主楼及其他专业教学楼楼内和办公室，各专业的“文化墙”内容各具特色、内容丰富、精彩纷呈。</w:t>
      </w:r>
      <w:r>
        <w:rPr>
          <w:rFonts w:hint="eastAsia" w:cs="Arial" w:asciiTheme="majorEastAsia" w:hAnsiTheme="majorEastAsia" w:eastAsiaTheme="majorEastAsia"/>
          <w:bCs/>
          <w:spacing w:val="-2"/>
          <w:position w:val="-2"/>
          <w:sz w:val="24"/>
          <w:lang w:val="en-US" w:eastAsia="zh-CN"/>
        </w:rPr>
        <w:t>在主楼楼道建了新时代文明实践教育园地，</w:t>
      </w:r>
      <w:r>
        <w:rPr>
          <w:rFonts w:hint="eastAsia" w:cs="Arial" w:asciiTheme="majorEastAsia" w:hAnsiTheme="majorEastAsia" w:eastAsiaTheme="majorEastAsia"/>
          <w:bCs/>
          <w:spacing w:val="-2"/>
          <w:position w:val="-2"/>
          <w:sz w:val="24"/>
        </w:rPr>
        <w:t>引领着全体教职工、学生和家长</w:t>
      </w:r>
      <w:r>
        <w:rPr>
          <w:rFonts w:hint="eastAsia" w:cs="Arial" w:asciiTheme="majorEastAsia" w:hAnsiTheme="majorEastAsia" w:eastAsiaTheme="majorEastAsia"/>
          <w:bCs/>
          <w:spacing w:val="-2"/>
          <w:position w:val="-2"/>
          <w:sz w:val="24"/>
          <w:lang w:val="en-US" w:eastAsia="zh-CN"/>
        </w:rPr>
        <w:t>争做文明实践活动的</w:t>
      </w:r>
      <w:r>
        <w:rPr>
          <w:rFonts w:hint="eastAsia" w:cs="Arial" w:asciiTheme="majorEastAsia" w:hAnsiTheme="majorEastAsia" w:eastAsiaTheme="majorEastAsia"/>
          <w:bCs/>
          <w:spacing w:val="-2"/>
          <w:position w:val="-2"/>
          <w:sz w:val="24"/>
        </w:rPr>
        <w:t>。</w:t>
      </w:r>
      <w:r>
        <w:rPr>
          <w:rFonts w:hint="eastAsia" w:cs="Arial" w:asciiTheme="majorEastAsia" w:hAnsiTheme="majorEastAsia" w:eastAsiaTheme="majorEastAsia"/>
          <w:spacing w:val="-2"/>
          <w:position w:val="-2"/>
          <w:sz w:val="24"/>
          <w:lang w:eastAsia="zh-CN"/>
        </w:rPr>
        <w:t>各类教材严格从教育部公布的《中等职业学校供书目录》中选用，组织骨干教师制作“微课、教学课件”，丰富教学资源库。</w:t>
      </w:r>
      <w:r>
        <w:rPr>
          <w:rFonts w:hint="eastAsia" w:cs="Arial" w:asciiTheme="majorEastAsia" w:hAnsiTheme="majorEastAsia" w:eastAsiaTheme="majorEastAsia"/>
          <w:spacing w:val="-2"/>
          <w:position w:val="-2"/>
          <w:sz w:val="24"/>
        </w:rPr>
        <w:t>学校将“活动</w:t>
      </w:r>
      <w:r>
        <w:rPr>
          <w:rFonts w:hint="eastAsia" w:cs="Arial" w:asciiTheme="majorEastAsia" w:hAnsiTheme="majorEastAsia" w:eastAsiaTheme="majorEastAsia"/>
          <w:spacing w:val="-2"/>
          <w:position w:val="-2"/>
          <w:sz w:val="24"/>
          <w:lang w:val="en-US" w:eastAsia="zh-CN"/>
        </w:rPr>
        <w:t>育人</w:t>
      </w:r>
      <w:r>
        <w:rPr>
          <w:rFonts w:hint="eastAsia" w:cs="Arial" w:asciiTheme="majorEastAsia" w:hAnsiTheme="majorEastAsia" w:eastAsiaTheme="majorEastAsia"/>
          <w:spacing w:val="-2"/>
          <w:position w:val="-2"/>
          <w:sz w:val="24"/>
        </w:rPr>
        <w:t>”德育</w:t>
      </w:r>
      <w:r>
        <w:rPr>
          <w:rFonts w:hint="eastAsia" w:cs="Arial" w:asciiTheme="majorEastAsia" w:hAnsiTheme="majorEastAsia" w:eastAsiaTheme="majorEastAsia"/>
          <w:spacing w:val="-2"/>
          <w:position w:val="-2"/>
          <w:sz w:val="24"/>
          <w:lang w:eastAsia="zh-CN"/>
        </w:rPr>
        <w:t>课程</w:t>
      </w:r>
      <w:r>
        <w:rPr>
          <w:rFonts w:hint="eastAsia" w:cs="Arial" w:asciiTheme="majorEastAsia" w:hAnsiTheme="majorEastAsia" w:eastAsiaTheme="majorEastAsia"/>
          <w:spacing w:val="-2"/>
          <w:position w:val="-2"/>
          <w:sz w:val="24"/>
        </w:rPr>
        <w:t>纳入课程体系</w:t>
      </w:r>
      <w:r>
        <w:rPr>
          <w:rFonts w:hint="eastAsia" w:cs="Arial" w:asciiTheme="majorEastAsia" w:hAnsiTheme="majorEastAsia" w:eastAsiaTheme="majorEastAsia"/>
          <w:spacing w:val="-2"/>
          <w:position w:val="-2"/>
          <w:sz w:val="24"/>
          <w:lang w:eastAsia="zh-CN"/>
        </w:rPr>
        <w:t>。</w:t>
      </w:r>
      <w:r>
        <w:rPr>
          <w:rFonts w:hint="eastAsia" w:cs="Arial" w:asciiTheme="majorEastAsia" w:hAnsiTheme="majorEastAsia" w:eastAsiaTheme="majorEastAsia"/>
          <w:spacing w:val="-2"/>
          <w:position w:val="-2"/>
          <w:sz w:val="24"/>
        </w:rPr>
        <w:t>借鉴行业企业的建议，</w:t>
      </w:r>
      <w:r>
        <w:rPr>
          <w:rFonts w:hint="eastAsia" w:cs="Arial" w:asciiTheme="majorEastAsia" w:hAnsiTheme="majorEastAsia" w:eastAsiaTheme="majorEastAsia"/>
          <w:spacing w:val="-2"/>
          <w:position w:val="-2"/>
          <w:sz w:val="24"/>
          <w:lang w:eastAsia="zh-CN"/>
        </w:rPr>
        <w:t>校企双元</w:t>
      </w:r>
      <w:r>
        <w:rPr>
          <w:rFonts w:hint="eastAsia" w:cs="Arial" w:asciiTheme="majorEastAsia" w:hAnsiTheme="majorEastAsia" w:eastAsiaTheme="majorEastAsia"/>
          <w:spacing w:val="-2"/>
          <w:position w:val="-2"/>
          <w:sz w:val="24"/>
        </w:rPr>
        <w:t>开发亲子、美工、视唱练耳、琴法、烹饪技术、服务语言等</w:t>
      </w:r>
      <w:r>
        <w:rPr>
          <w:rFonts w:cs="Arial" w:asciiTheme="majorEastAsia" w:hAnsiTheme="majorEastAsia" w:eastAsiaTheme="majorEastAsia"/>
          <w:spacing w:val="-2"/>
          <w:position w:val="-2"/>
          <w:sz w:val="24"/>
        </w:rPr>
        <w:t>15</w:t>
      </w:r>
      <w:r>
        <w:rPr>
          <w:rFonts w:hint="eastAsia" w:cs="Arial" w:asciiTheme="majorEastAsia" w:hAnsiTheme="majorEastAsia" w:eastAsiaTheme="majorEastAsia"/>
          <w:spacing w:val="-2"/>
          <w:position w:val="-2"/>
          <w:sz w:val="24"/>
        </w:rPr>
        <w:t>部校本教材</w:t>
      </w:r>
      <w:r>
        <w:rPr>
          <w:rFonts w:hint="eastAsia" w:cs="Arial" w:asciiTheme="majorEastAsia" w:hAnsiTheme="majorEastAsia" w:eastAsiaTheme="majorEastAsia"/>
          <w:spacing w:val="-2"/>
          <w:position w:val="-2"/>
          <w:sz w:val="24"/>
          <w:lang w:eastAsia="zh-CN"/>
        </w:rPr>
        <w:t>已经在专业普遍使用，效果较好</w:t>
      </w:r>
      <w:r>
        <w:rPr>
          <w:rFonts w:hint="eastAsia" w:cs="Arial" w:asciiTheme="majorEastAsia" w:hAnsiTheme="majorEastAsia" w:eastAsiaTheme="majorEastAsia"/>
          <w:spacing w:val="-2"/>
          <w:position w:val="-2"/>
          <w:sz w:val="24"/>
        </w:rPr>
        <w:t>。</w:t>
      </w:r>
      <w:r>
        <w:rPr>
          <w:rFonts w:hint="eastAsia" w:cs="Arial" w:asciiTheme="majorEastAsia" w:hAnsiTheme="majorEastAsia" w:eastAsiaTheme="majorEastAsia"/>
          <w:bCs/>
          <w:spacing w:val="-2"/>
          <w:position w:val="-2"/>
          <w:sz w:val="24"/>
        </w:rPr>
        <w:t>各专业从企业聘请行业专家和能工巧匠担任兼职教师，来校讲学授课。</w:t>
      </w:r>
      <w:r>
        <w:rPr>
          <w:rFonts w:hint="eastAsia" w:cs="Arial" w:asciiTheme="majorEastAsia" w:hAnsiTheme="majorEastAsia" w:eastAsiaTheme="majorEastAsia"/>
          <w:bCs/>
          <w:spacing w:val="-2"/>
          <w:position w:val="-2"/>
          <w:sz w:val="24"/>
          <w:lang w:eastAsia="zh-CN"/>
        </w:rPr>
        <w:t>截至</w:t>
      </w:r>
      <w:r>
        <w:rPr>
          <w:rFonts w:hint="eastAsia" w:cs="Arial" w:asciiTheme="majorEastAsia" w:hAnsiTheme="majorEastAsia" w:eastAsiaTheme="majorEastAsia"/>
          <w:bCs/>
          <w:spacing w:val="-2"/>
          <w:position w:val="-2"/>
          <w:sz w:val="24"/>
        </w:rPr>
        <w:t>本学期已经有</w:t>
      </w:r>
      <w:r>
        <w:rPr>
          <w:rFonts w:hint="eastAsia" w:cs="Arial" w:asciiTheme="majorEastAsia" w:hAnsiTheme="majorEastAsia" w:eastAsiaTheme="majorEastAsia"/>
          <w:bCs/>
          <w:spacing w:val="-2"/>
          <w:position w:val="-2"/>
          <w:sz w:val="24"/>
          <w:lang w:val="en-US" w:eastAsia="zh-CN"/>
        </w:rPr>
        <w:t>8</w:t>
      </w:r>
      <w:r>
        <w:rPr>
          <w:rFonts w:hint="eastAsia" w:cs="Arial" w:asciiTheme="majorEastAsia" w:hAnsiTheme="majorEastAsia" w:eastAsiaTheme="majorEastAsia"/>
          <w:bCs/>
          <w:spacing w:val="-2"/>
          <w:position w:val="-2"/>
          <w:sz w:val="24"/>
        </w:rPr>
        <w:t>位企业专家担任学校兼职教师，校企双元育人收获很大。</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师资队伍培养</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.1建立教师培养机制</w:t>
      </w:r>
    </w:p>
    <w:p>
      <w:pPr>
        <w:widowControl/>
        <w:shd w:val="clear" w:color="auto" w:fill="FFFFFF"/>
        <w:spacing w:line="440" w:lineRule="exact"/>
        <w:ind w:firstLine="472" w:firstLineChars="200"/>
        <w:rPr>
          <w:rFonts w:hint="default" w:cs="Arial" w:asciiTheme="majorEastAsia" w:hAnsiTheme="majorEastAsia" w:eastAsiaTheme="majorEastAsia"/>
          <w:bCs/>
          <w:spacing w:val="-2"/>
          <w:position w:val="-2"/>
          <w:sz w:val="24"/>
          <w:lang w:val="en-US"/>
        </w:rPr>
      </w:pPr>
      <w:r>
        <w:rPr>
          <w:rFonts w:hint="eastAsia" w:cs="Arial" w:asciiTheme="majorEastAsia" w:hAnsiTheme="majorEastAsia" w:eastAsiaTheme="majorEastAsia"/>
          <w:spacing w:val="-2"/>
          <w:position w:val="-2"/>
          <w:sz w:val="24"/>
        </w:rPr>
        <w:t>教务处组织开展了“结对帮扶”活动，2</w:t>
      </w:r>
      <w:r>
        <w:rPr>
          <w:rFonts w:cs="Arial" w:asciiTheme="majorEastAsia" w:hAnsiTheme="majorEastAsia" w:eastAsiaTheme="majorEastAsia"/>
          <w:spacing w:val="-2"/>
          <w:position w:val="-2"/>
          <w:sz w:val="24"/>
        </w:rPr>
        <w:t>0</w:t>
      </w:r>
      <w:r>
        <w:rPr>
          <w:rFonts w:hint="eastAsia" w:cs="Arial" w:asciiTheme="majorEastAsia" w:hAnsiTheme="majorEastAsia" w:eastAsiaTheme="majorEastAsia"/>
          <w:spacing w:val="-2"/>
          <w:position w:val="-2"/>
          <w:sz w:val="24"/>
          <w:lang w:val="en-US" w:eastAsia="zh-CN"/>
        </w:rPr>
        <w:t>20</w:t>
      </w:r>
      <w:r>
        <w:rPr>
          <w:rFonts w:cs="Arial" w:asciiTheme="majorEastAsia" w:hAnsiTheme="majorEastAsia" w:eastAsiaTheme="majorEastAsia"/>
          <w:spacing w:val="-2"/>
          <w:position w:val="-2"/>
          <w:sz w:val="24"/>
        </w:rPr>
        <w:t>年</w:t>
      </w:r>
      <w:r>
        <w:rPr>
          <w:rFonts w:hint="eastAsia" w:cs="Arial" w:asciiTheme="majorEastAsia" w:hAnsiTheme="majorEastAsia" w:eastAsiaTheme="majorEastAsia"/>
          <w:spacing w:val="-2"/>
          <w:position w:val="-2"/>
          <w:sz w:val="24"/>
          <w:lang w:val="en-US" w:eastAsia="zh-CN"/>
        </w:rPr>
        <w:t>11</w:t>
      </w:r>
      <w:r>
        <w:rPr>
          <w:rFonts w:hint="eastAsia" w:cs="Arial" w:asciiTheme="majorEastAsia" w:hAnsiTheme="majorEastAsia" w:eastAsiaTheme="majorEastAsia"/>
          <w:spacing w:val="-2"/>
          <w:position w:val="-2"/>
          <w:sz w:val="24"/>
        </w:rPr>
        <w:t>名新入职教师分别与</w:t>
      </w:r>
      <w:r>
        <w:rPr>
          <w:rFonts w:hint="eastAsia" w:cs="Arial" w:asciiTheme="majorEastAsia" w:hAnsiTheme="majorEastAsia" w:eastAsiaTheme="majorEastAsia"/>
          <w:spacing w:val="-2"/>
          <w:position w:val="-2"/>
          <w:sz w:val="24"/>
          <w:lang w:val="en-US" w:eastAsia="zh-CN"/>
        </w:rPr>
        <w:t>11</w:t>
      </w:r>
      <w:r>
        <w:rPr>
          <w:rFonts w:hint="eastAsia" w:cs="Arial" w:asciiTheme="majorEastAsia" w:hAnsiTheme="majorEastAsia" w:eastAsiaTheme="majorEastAsia"/>
          <w:spacing w:val="-2"/>
          <w:position w:val="-2"/>
          <w:sz w:val="24"/>
        </w:rPr>
        <w:t>位老教师结对学艺。</w:t>
      </w:r>
      <w:r>
        <w:rPr>
          <w:rFonts w:hint="eastAsia" w:cs="Arial" w:asciiTheme="majorEastAsia" w:hAnsiTheme="majorEastAsia" w:eastAsiaTheme="majorEastAsia"/>
          <w:bCs/>
          <w:spacing w:val="-2"/>
          <w:position w:val="-2"/>
          <w:sz w:val="24"/>
        </w:rPr>
        <w:t>教务处组织了一系列的新教师入职培训，学校的名教师和有经验的老教师发挥了重要作用，从教师的道德规范、如何备课、如何组织教学等方面进行培训，帮助他们尽快适应教师岗位、掌握基本教育教学方法和工作技巧，经过几个月的系列培训新教师成长很快取得了良好的效果</w:t>
      </w:r>
      <w:r>
        <w:rPr>
          <w:rFonts w:hint="eastAsia" w:cs="Arial" w:asciiTheme="majorEastAsia" w:hAnsiTheme="majorEastAsia" w:eastAsiaTheme="majorEastAsia"/>
          <w:spacing w:val="-2"/>
          <w:position w:val="-2"/>
          <w:sz w:val="24"/>
        </w:rPr>
        <w:t>。校本研训不断加强，学校制定有校本研训工作方案，校本研训有目标、有步骤、有措施。教师继续教育及时布置，及时督促，及时登记，继续教育签证率100%，合格率100%。</w:t>
      </w:r>
      <w:r>
        <w:rPr>
          <w:rFonts w:hint="eastAsia" w:cs="Arial" w:asciiTheme="majorEastAsia" w:hAnsiTheme="majorEastAsia" w:eastAsiaTheme="majorEastAsia"/>
          <w:bCs/>
          <w:spacing w:val="-2"/>
          <w:position w:val="-2"/>
          <w:sz w:val="24"/>
        </w:rPr>
        <w:t>学前教育专业中心教研组、旅游服务中心教研组分别承担了全市职业学校技能大赛，受到了其他旗县区教育行政主管部门和兄弟学校干部教师的一致称赞。安排专业教师</w:t>
      </w:r>
      <w:r>
        <w:rPr>
          <w:rFonts w:hint="eastAsia" w:cs="Arial" w:asciiTheme="majorEastAsia" w:hAnsiTheme="majorEastAsia" w:eastAsiaTheme="majorEastAsia"/>
          <w:bCs/>
          <w:spacing w:val="-2"/>
          <w:position w:val="-2"/>
          <w:sz w:val="24"/>
          <w:lang w:val="en-US" w:eastAsia="zh-CN"/>
        </w:rPr>
        <w:t>20</w:t>
      </w:r>
      <w:r>
        <w:rPr>
          <w:rFonts w:hint="eastAsia" w:cs="Arial" w:asciiTheme="majorEastAsia" w:hAnsiTheme="majorEastAsia" w:eastAsiaTheme="majorEastAsia"/>
          <w:bCs/>
          <w:spacing w:val="-2"/>
          <w:position w:val="-2"/>
          <w:sz w:val="24"/>
        </w:rPr>
        <w:t>次到专业对口企业进行企业实践，派出</w:t>
      </w:r>
      <w:r>
        <w:rPr>
          <w:rFonts w:hint="eastAsia" w:cs="Arial" w:asciiTheme="majorEastAsia" w:hAnsiTheme="majorEastAsia" w:eastAsiaTheme="majorEastAsia"/>
          <w:bCs/>
          <w:spacing w:val="-2"/>
          <w:position w:val="-2"/>
          <w:sz w:val="24"/>
          <w:lang w:val="en-US" w:eastAsia="zh-CN"/>
        </w:rPr>
        <w:t>8</w:t>
      </w:r>
      <w:r>
        <w:rPr>
          <w:rFonts w:cs="Arial" w:asciiTheme="majorEastAsia" w:hAnsiTheme="majorEastAsia" w:eastAsiaTheme="majorEastAsia"/>
          <w:bCs/>
          <w:spacing w:val="-2"/>
          <w:position w:val="-2"/>
          <w:sz w:val="24"/>
        </w:rPr>
        <w:t>人</w:t>
      </w:r>
      <w:r>
        <w:rPr>
          <w:rFonts w:hint="eastAsia" w:cs="Arial" w:asciiTheme="majorEastAsia" w:hAnsiTheme="majorEastAsia" w:eastAsiaTheme="majorEastAsia"/>
          <w:bCs/>
          <w:spacing w:val="-2"/>
          <w:position w:val="-2"/>
          <w:sz w:val="24"/>
        </w:rPr>
        <w:t>到高等职业学校、教育厅定点教师教训基地接受骨干教师</w:t>
      </w:r>
      <w:r>
        <w:rPr>
          <w:rFonts w:hint="eastAsia" w:cs="Arial" w:asciiTheme="majorEastAsia" w:hAnsiTheme="majorEastAsia" w:eastAsiaTheme="majorEastAsia"/>
          <w:bCs/>
          <w:spacing w:val="-2"/>
          <w:position w:val="-2"/>
          <w:sz w:val="24"/>
          <w:lang w:val="en-US" w:eastAsia="zh-CN"/>
        </w:rPr>
        <w:t>省级</w:t>
      </w:r>
      <w:r>
        <w:rPr>
          <w:rFonts w:hint="eastAsia" w:cs="Arial" w:asciiTheme="majorEastAsia" w:hAnsiTheme="majorEastAsia" w:eastAsiaTheme="majorEastAsia"/>
          <w:bCs/>
          <w:spacing w:val="-2"/>
          <w:position w:val="-2"/>
          <w:sz w:val="24"/>
        </w:rPr>
        <w:t>培训</w:t>
      </w:r>
      <w:r>
        <w:rPr>
          <w:rFonts w:hint="eastAsia" w:cs="Arial" w:asciiTheme="majorEastAsia" w:hAnsiTheme="majorEastAsia" w:eastAsiaTheme="majorEastAsia"/>
          <w:bCs/>
          <w:spacing w:val="-2"/>
          <w:position w:val="-2"/>
          <w:sz w:val="24"/>
          <w:lang w:eastAsia="zh-CN"/>
        </w:rPr>
        <w:t>，组织</w:t>
      </w:r>
      <w:r>
        <w:rPr>
          <w:rFonts w:hint="eastAsia" w:cs="Arial" w:asciiTheme="majorEastAsia" w:hAnsiTheme="majorEastAsia" w:eastAsiaTheme="majorEastAsia"/>
          <w:bCs/>
          <w:spacing w:val="-2"/>
          <w:position w:val="-2"/>
          <w:sz w:val="24"/>
          <w:lang w:val="en-US" w:eastAsia="zh-CN"/>
        </w:rPr>
        <w:t>66人参加了赤峰市职业教育教学研究培训中心开展的“星火教师”计划、信息技术、教师教学能力比赛培训。全体教师完成了年度“法宣在线”普法在线学习与考试，合格率100%。</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.2制定教师发展规划</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spacing w:val="-2"/>
          <w:position w:val="-2"/>
          <w:sz w:val="24"/>
          <w:lang w:val="en-US" w:eastAsia="zh-CN"/>
        </w:rPr>
        <w:t>落实</w:t>
      </w:r>
      <w:r>
        <w:rPr>
          <w:rFonts w:hint="eastAsia" w:cs="Arial" w:asciiTheme="majorEastAsia" w:hAnsiTheme="majorEastAsia" w:eastAsiaTheme="majorEastAsia"/>
          <w:spacing w:val="-2"/>
          <w:position w:val="-2"/>
          <w:sz w:val="24"/>
        </w:rPr>
        <w:t>教师专业发展规划，学校制定了专业带头人、骨干教师培养计划，以及骨干教师、青年教师培训制度，积极组织教师参加各级培训。20</w:t>
      </w:r>
      <w:r>
        <w:rPr>
          <w:rFonts w:hint="eastAsia" w:cs="Arial" w:asciiTheme="majorEastAsia" w:hAnsiTheme="majorEastAsia" w:eastAsiaTheme="majorEastAsia"/>
          <w:spacing w:val="-2"/>
          <w:position w:val="-2"/>
          <w:sz w:val="24"/>
          <w:lang w:val="en-US" w:eastAsia="zh-CN"/>
        </w:rPr>
        <w:t>21</w:t>
      </w:r>
      <w:r>
        <w:rPr>
          <w:rFonts w:hint="eastAsia" w:cs="Arial" w:asciiTheme="majorEastAsia" w:hAnsiTheme="majorEastAsia" w:eastAsiaTheme="majorEastAsia"/>
          <w:spacing w:val="-2"/>
          <w:position w:val="-2"/>
          <w:sz w:val="24"/>
        </w:rPr>
        <w:t>年学校教师参加省培</w:t>
      </w:r>
      <w:r>
        <w:rPr>
          <w:rFonts w:hint="eastAsia" w:cs="Arial" w:asciiTheme="majorEastAsia" w:hAnsiTheme="majorEastAsia" w:eastAsiaTheme="majorEastAsia"/>
          <w:spacing w:val="-2"/>
          <w:position w:val="-2"/>
          <w:sz w:val="24"/>
          <w:lang w:val="en-US" w:eastAsia="zh-CN"/>
        </w:rPr>
        <w:t>6</w:t>
      </w:r>
      <w:r>
        <w:rPr>
          <w:rFonts w:hint="eastAsia" w:cs="Arial" w:asciiTheme="majorEastAsia" w:hAnsiTheme="majorEastAsia" w:eastAsiaTheme="majorEastAsia"/>
          <w:spacing w:val="-2"/>
          <w:position w:val="-2"/>
          <w:sz w:val="24"/>
        </w:rPr>
        <w:t>人。</w:t>
      </w:r>
      <w:r>
        <w:rPr>
          <w:rFonts w:hint="eastAsia" w:cs="Arial" w:asciiTheme="majorEastAsia" w:hAnsiTheme="majorEastAsia" w:eastAsiaTheme="majorEastAsia"/>
          <w:bCs/>
          <w:spacing w:val="-2"/>
          <w:position w:val="-2"/>
          <w:sz w:val="24"/>
        </w:rPr>
        <w:t>以适应职业岗位需求为导向，改进教法，指导学法。突出“做中教、做中学”理实一体的课堂教学的重构，注重专业技术技能的训练和积累，巩固参加各级各类技能大赛成果，以赛促教、以赛促学。推进课堂教学改革，突出以学生为主体、教师为主导的教育思想，培养学生自主学习，合作学习，探究学习良好习惯，建立有活力、讲实效、引发真正学习的新课堂，为学生个性发展提供充分的空间。</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.3教研工作常态化、规范化</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bCs/>
          <w:spacing w:val="-2"/>
          <w:position w:val="-2"/>
          <w:sz w:val="24"/>
        </w:rPr>
        <w:t>各专业积极开展专业主题研究，各专业教研会</w:t>
      </w:r>
      <w:r>
        <w:rPr>
          <w:rFonts w:cs="Arial" w:asciiTheme="majorEastAsia" w:hAnsiTheme="majorEastAsia" w:eastAsiaTheme="majorEastAsia"/>
          <w:bCs/>
          <w:spacing w:val="-2"/>
          <w:position w:val="-2"/>
          <w:sz w:val="24"/>
        </w:rPr>
        <w:t>2</w:t>
      </w:r>
      <w:r>
        <w:rPr>
          <w:rFonts w:hint="eastAsia" w:cs="Arial" w:asciiTheme="majorEastAsia" w:hAnsiTheme="majorEastAsia" w:eastAsiaTheme="majorEastAsia"/>
          <w:bCs/>
          <w:spacing w:val="-2"/>
          <w:position w:val="-2"/>
          <w:sz w:val="24"/>
        </w:rPr>
        <w:t>0余次，结合教学实践扣准主题，注重过程资料积累、阶段性总结，阶段性研究成果鲜明。学前、酒店、计算机专业按照示范校建设要求针对制度建设、师资队伍建设、实习实训等方面开展教研，成立领导小组，分工明确责任到人。各专业切实增强了教研针对性和实效性，达到了以专题教研促进教学改革，提高教学质量的目的。形成各具特色的专业课程体系、教学质量评估体系、学习质量考核体系。</w:t>
      </w:r>
    </w:p>
    <w:p>
      <w:pPr>
        <w:widowControl/>
        <w:shd w:val="clear" w:color="auto" w:fill="FFFFFF"/>
        <w:spacing w:line="440" w:lineRule="exact"/>
        <w:ind w:firstLine="474"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.4科研引领</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bCs/>
          <w:spacing w:val="-2"/>
          <w:position w:val="-2"/>
          <w:sz w:val="24"/>
        </w:rPr>
        <w:t>重视教育科研工作，扎实开展校本研修。国家级课题《研学实践课程建设与实施过程中培养学生德智体美劳全面发展的策略研究》</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rPr>
        <w:t>《中职国学经典校本课程研究》</w:t>
      </w:r>
      <w:r>
        <w:rPr>
          <w:rFonts w:hint="eastAsia" w:cs="Arial" w:asciiTheme="majorEastAsia" w:hAnsiTheme="majorEastAsia" w:eastAsiaTheme="majorEastAsia"/>
          <w:bCs/>
          <w:spacing w:val="-2"/>
          <w:position w:val="-2"/>
          <w:sz w:val="24"/>
          <w:lang w:eastAsia="zh-CN"/>
        </w:rPr>
        <w:t>已经开题，</w:t>
      </w:r>
      <w:r>
        <w:rPr>
          <w:rFonts w:hint="eastAsia" w:cs="Arial" w:asciiTheme="majorEastAsia" w:hAnsiTheme="majorEastAsia" w:eastAsiaTheme="majorEastAsia"/>
          <w:bCs/>
          <w:spacing w:val="-2"/>
          <w:position w:val="-2"/>
          <w:sz w:val="24"/>
        </w:rPr>
        <w:t>计划于2023年6月结题。《基于产教融合、校企合作中职学校学前教育专业课程开发模式的实践研究》、</w:t>
      </w:r>
      <w:r>
        <w:rPr>
          <w:rFonts w:hint="eastAsia" w:cs="Arial" w:asciiTheme="majorEastAsia" w:hAnsiTheme="majorEastAsia" w:eastAsiaTheme="majorEastAsia"/>
          <w:bCs/>
          <w:spacing w:val="-2"/>
          <w:position w:val="-2"/>
          <w:sz w:val="24"/>
          <w:lang w:eastAsia="zh-CN"/>
        </w:rPr>
        <w:t>高星级饭店运营与</w:t>
      </w:r>
      <w:r>
        <w:rPr>
          <w:rFonts w:hint="eastAsia" w:cs="Arial" w:asciiTheme="majorEastAsia" w:hAnsiTheme="majorEastAsia" w:eastAsiaTheme="majorEastAsia"/>
          <w:bCs/>
          <w:spacing w:val="-2"/>
          <w:position w:val="-2"/>
          <w:sz w:val="24"/>
        </w:rPr>
        <w:t>管理专业的《基于校企合作及现代学徒制的中职高星级饭店运营与管理专业课程开发模式的实践研究》，学校和企业多人参与，</w:t>
      </w:r>
      <w:r>
        <w:rPr>
          <w:rFonts w:hint="eastAsia" w:cs="Arial" w:asciiTheme="majorEastAsia" w:hAnsiTheme="majorEastAsia" w:eastAsiaTheme="majorEastAsia"/>
          <w:bCs/>
          <w:spacing w:val="-2"/>
          <w:position w:val="-2"/>
          <w:sz w:val="24"/>
          <w:lang w:eastAsia="zh-CN"/>
        </w:rPr>
        <w:t>于</w:t>
      </w:r>
      <w:r>
        <w:rPr>
          <w:rFonts w:hint="eastAsia" w:cs="Arial" w:asciiTheme="majorEastAsia" w:hAnsiTheme="majorEastAsia" w:eastAsiaTheme="majorEastAsia"/>
          <w:bCs/>
          <w:spacing w:val="-2"/>
          <w:position w:val="-2"/>
          <w:sz w:val="24"/>
        </w:rPr>
        <w:t>2021年6月结题。学前教育专业、中餐烹饪专业、计算机专业、工艺美术专业、语文、英语等跨专业跨学科市级课题《中等职业学校校本教材的开发与研究》于2021年</w:t>
      </w:r>
      <w:r>
        <w:rPr>
          <w:rFonts w:hint="eastAsia" w:cs="Arial" w:asciiTheme="majorEastAsia" w:hAnsiTheme="majorEastAsia" w:eastAsiaTheme="majorEastAsia"/>
          <w:bCs/>
          <w:spacing w:val="-2"/>
          <w:position w:val="-2"/>
          <w:sz w:val="24"/>
          <w:lang w:val="en-US" w:eastAsia="zh-CN"/>
        </w:rPr>
        <w:t>6</w:t>
      </w:r>
      <w:r>
        <w:rPr>
          <w:rFonts w:hint="eastAsia" w:cs="Arial" w:asciiTheme="majorEastAsia" w:hAnsiTheme="majorEastAsia" w:eastAsiaTheme="majorEastAsia"/>
          <w:bCs/>
          <w:spacing w:val="-2"/>
          <w:position w:val="-2"/>
          <w:sz w:val="24"/>
        </w:rPr>
        <w:t>月结题。</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w:t>
      </w:r>
      <w:r>
        <w:rPr>
          <w:rFonts w:hint="eastAsia" w:cs="Arial" w:asciiTheme="majorEastAsia" w:hAnsiTheme="majorEastAsia" w:eastAsiaTheme="majorEastAsia"/>
          <w:b/>
          <w:spacing w:val="-2"/>
          <w:position w:val="-2"/>
          <w:sz w:val="24"/>
          <w:lang w:val="en-US" w:eastAsia="zh-CN"/>
        </w:rPr>
        <w:t>4</w:t>
      </w:r>
      <w:r>
        <w:rPr>
          <w:rFonts w:hint="eastAsia" w:cs="Arial" w:asciiTheme="majorEastAsia" w:hAnsiTheme="majorEastAsia" w:eastAsiaTheme="majorEastAsia"/>
          <w:b/>
          <w:spacing w:val="-2"/>
          <w:position w:val="-2"/>
          <w:sz w:val="24"/>
        </w:rPr>
        <w:t>.5加强师德师风建设</w:t>
      </w:r>
    </w:p>
    <w:p>
      <w:pPr>
        <w:widowControl/>
        <w:shd w:val="clear" w:color="auto" w:fill="FFFFFF"/>
        <w:spacing w:line="440" w:lineRule="exact"/>
        <w:ind w:firstLine="472" w:firstLineChars="200"/>
        <w:rPr>
          <w:rFonts w:hint="default" w:cs="Arial" w:asciiTheme="majorEastAsia" w:hAnsiTheme="majorEastAsia" w:eastAsiaTheme="majorEastAsia"/>
          <w:spacing w:val="-2"/>
          <w:position w:val="-2"/>
          <w:sz w:val="24"/>
          <w:lang w:val="en-US" w:eastAsia="zh-CN"/>
        </w:rPr>
      </w:pPr>
      <w:r>
        <w:rPr>
          <w:rFonts w:hint="eastAsia" w:cs="Arial" w:asciiTheme="majorEastAsia" w:hAnsiTheme="majorEastAsia" w:eastAsiaTheme="majorEastAsia"/>
          <w:spacing w:val="-2"/>
          <w:position w:val="-2"/>
          <w:sz w:val="24"/>
        </w:rPr>
        <w:t>完善教育、宣传、考核、监督、奖惩相结合的长效机制。</w:t>
      </w:r>
      <w:r>
        <w:rPr>
          <w:rFonts w:hint="eastAsia" w:cs="Arial" w:asciiTheme="majorEastAsia" w:hAnsiTheme="majorEastAsia" w:eastAsiaTheme="majorEastAsia"/>
          <w:spacing w:val="-2"/>
          <w:position w:val="-2"/>
          <w:sz w:val="24"/>
          <w:lang w:eastAsia="zh-CN"/>
        </w:rPr>
        <w:t>学校制定了《赤峰第一职关于加强师德师风建设的意见》，所有任课教师签订了《师德师风建设承诺书》，开展师德师风建设专业讲座</w:t>
      </w:r>
      <w:r>
        <w:rPr>
          <w:rFonts w:hint="eastAsia" w:cs="Arial" w:asciiTheme="majorEastAsia" w:hAnsiTheme="majorEastAsia" w:eastAsiaTheme="majorEastAsia"/>
          <w:spacing w:val="-2"/>
          <w:position w:val="-2"/>
          <w:sz w:val="24"/>
          <w:lang w:val="en-US" w:eastAsia="zh-CN"/>
        </w:rPr>
        <w:t>4次。</w:t>
      </w:r>
      <w:r>
        <w:rPr>
          <w:rFonts w:hint="eastAsia" w:cs="Arial" w:asciiTheme="majorEastAsia" w:hAnsiTheme="majorEastAsia" w:eastAsiaTheme="majorEastAsia"/>
          <w:spacing w:val="-2"/>
          <w:position w:val="-2"/>
          <w:sz w:val="24"/>
        </w:rPr>
        <w:t>强化日常师德教育，把师德教育列为教师培训的首要任务，作为教师入职培训的必修内容和在职教师继续教育的必修课程，建立新教师入职宣誓制度。大力选树师德典型，加强宣传，弘扬楷模。强化师德考评，完善奖惩机制，推行师德考核负面清单制度，加大惩处力度，用好师德表现一票否决制，着力解决师德失范问题。年内评选出</w:t>
      </w:r>
      <w:r>
        <w:rPr>
          <w:rFonts w:hint="eastAsia" w:cs="Arial" w:asciiTheme="majorEastAsia" w:hAnsiTheme="majorEastAsia" w:eastAsiaTheme="majorEastAsia"/>
          <w:spacing w:val="-2"/>
          <w:position w:val="-2"/>
          <w:sz w:val="24"/>
          <w:lang w:val="en-US" w:eastAsia="zh-CN"/>
        </w:rPr>
        <w:t>64</w:t>
      </w:r>
      <w:r>
        <w:rPr>
          <w:rFonts w:cs="Arial" w:asciiTheme="majorEastAsia" w:hAnsiTheme="majorEastAsia" w:eastAsiaTheme="majorEastAsia"/>
          <w:spacing w:val="-2"/>
          <w:position w:val="-2"/>
          <w:sz w:val="24"/>
        </w:rPr>
        <w:t>名校级先进教师。</w:t>
      </w:r>
      <w:r>
        <w:rPr>
          <w:rFonts w:hint="eastAsia" w:cs="Arial" w:asciiTheme="majorEastAsia" w:hAnsiTheme="majorEastAsia" w:eastAsiaTheme="majorEastAsia"/>
          <w:spacing w:val="-2"/>
          <w:position w:val="-2"/>
          <w:sz w:val="24"/>
          <w:lang w:eastAsia="zh-CN"/>
        </w:rPr>
        <w:t>有</w:t>
      </w:r>
      <w:r>
        <w:rPr>
          <w:rFonts w:hint="eastAsia" w:cs="Arial" w:asciiTheme="majorEastAsia" w:hAnsiTheme="majorEastAsia" w:eastAsiaTheme="majorEastAsia"/>
          <w:spacing w:val="-2"/>
          <w:position w:val="-2"/>
          <w:sz w:val="24"/>
          <w:lang w:val="en-US" w:eastAsia="zh-CN"/>
        </w:rPr>
        <w:t>1人被红山区人民政府授予“师德标兵”、2人被授予“优秀教师”、1人被授予“优秀班主任”荣誉称号。</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ajorEastAsia" w:hAnsiTheme="majorEastAsia" w:eastAsiaTheme="majorEastAsia"/>
          <w:spacing w:val="-2"/>
          <w:position w:val="-2"/>
          <w:sz w:val="24"/>
        </w:rPr>
        <w:drawing>
          <wp:inline distT="0" distB="0" distL="0" distR="0">
            <wp:extent cx="5057775" cy="3003550"/>
            <wp:effectExtent l="4445" t="4445" r="508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shd w:val="clear" w:color="auto" w:fill="FFFFFF"/>
        <w:ind w:firstLine="472" w:firstLineChars="200"/>
        <w:jc w:val="center"/>
        <w:rPr>
          <w:rFonts w:hint="eastAsia" w:cs="Arial" w:asciiTheme="minorEastAsia" w:hAnsiTheme="minorEastAsia" w:eastAsiaTheme="minorEastAsia"/>
          <w:spacing w:val="-2"/>
          <w:position w:val="-2"/>
          <w:sz w:val="24"/>
          <w:szCs w:val="24"/>
        </w:rPr>
      </w:pPr>
    </w:p>
    <w:p>
      <w:pPr>
        <w:widowControl/>
        <w:shd w:val="clear" w:color="auto" w:fill="FFFFFF"/>
        <w:ind w:firstLine="472" w:firstLineChars="200"/>
        <w:jc w:val="cente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教师参加培训统计表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培训类型</w:t>
            </w:r>
          </w:p>
        </w:tc>
        <w:tc>
          <w:tcPr>
            <w:tcW w:w="284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培训人次（人）</w:t>
            </w:r>
          </w:p>
        </w:tc>
        <w:tc>
          <w:tcPr>
            <w:tcW w:w="284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国培</w:t>
            </w:r>
          </w:p>
        </w:tc>
        <w:tc>
          <w:tcPr>
            <w:tcW w:w="2841" w:type="dxa"/>
            <w:vAlign w:val="center"/>
          </w:tcPr>
          <w:p>
            <w:pPr>
              <w:widowControl/>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2841"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省培</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8</w:t>
            </w:r>
          </w:p>
        </w:tc>
        <w:tc>
          <w:tcPr>
            <w:tcW w:w="2841" w:type="dxa"/>
            <w:vAlign w:val="center"/>
          </w:tcPr>
          <w:p>
            <w:pPr>
              <w:widowControl/>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职业院校教师素质提</w:t>
            </w:r>
            <w:r>
              <w:rPr>
                <w:rFonts w:hint="eastAsia" w:cs="Arial" w:asciiTheme="minorEastAsia" w:hAnsiTheme="minorEastAsia" w:eastAsiaTheme="minorEastAsia"/>
                <w:spacing w:val="-2"/>
                <w:position w:val="-2"/>
                <w:lang w:eastAsia="zh-CN"/>
              </w:rPr>
              <w:t>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市培</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66</w:t>
            </w:r>
          </w:p>
        </w:tc>
        <w:tc>
          <w:tcPr>
            <w:tcW w:w="2841"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lang w:eastAsia="zh-CN"/>
              </w:rPr>
              <w:t>公共课、</w:t>
            </w:r>
            <w:r>
              <w:rPr>
                <w:rFonts w:cs="Arial" w:asciiTheme="minorEastAsia" w:hAnsiTheme="minorEastAsia" w:eastAsiaTheme="minorEastAsia"/>
                <w:spacing w:val="-2"/>
                <w:position w:val="-2"/>
              </w:rPr>
              <w:t>专业理论与技能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县培</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w:t>
            </w:r>
          </w:p>
        </w:tc>
        <w:tc>
          <w:tcPr>
            <w:tcW w:w="2841"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企业实践</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20</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行业规范与知识技能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合计</w:t>
            </w:r>
          </w:p>
        </w:tc>
        <w:tc>
          <w:tcPr>
            <w:tcW w:w="5682" w:type="dxa"/>
            <w:gridSpan w:val="2"/>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96</w:t>
            </w:r>
          </w:p>
        </w:tc>
      </w:tr>
    </w:tbl>
    <w:p>
      <w:pPr>
        <w:widowControl/>
        <w:shd w:val="clear" w:color="auto" w:fill="FFFFFF"/>
        <w:ind w:firstLine="472" w:firstLineChars="20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教师参加、指导技能大赛获奖统计表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序号</w:t>
            </w:r>
          </w:p>
        </w:tc>
        <w:tc>
          <w:tcPr>
            <w:tcW w:w="213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获奖级别</w:t>
            </w:r>
          </w:p>
        </w:tc>
        <w:tc>
          <w:tcPr>
            <w:tcW w:w="2131"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比赛项目</w:t>
            </w:r>
          </w:p>
        </w:tc>
        <w:tc>
          <w:tcPr>
            <w:tcW w:w="2131"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2130" w:type="dxa"/>
            <w:vMerge w:val="restart"/>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省级</w:t>
            </w:r>
          </w:p>
        </w:tc>
        <w:tc>
          <w:tcPr>
            <w:tcW w:w="2131"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学生技能比赛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w:t>
            </w:r>
            <w:r>
              <w:rPr>
                <w:rFonts w:hint="eastAsia" w:cs="Arial" w:asciiTheme="majorEastAsia" w:hAnsiTheme="majorEastAsia" w:eastAsiaTheme="majorEastAsia"/>
                <w:spacing w:val="-2"/>
                <w:position w:val="-2"/>
              </w:rPr>
              <w:t>人获</w:t>
            </w:r>
            <w:r>
              <w:rPr>
                <w:rFonts w:cs="Arial" w:asciiTheme="majorEastAsia" w:hAnsiTheme="majorEastAsia" w:eastAsiaTheme="majorEastAsia"/>
                <w:spacing w:val="-2"/>
                <w:position w:val="-2"/>
              </w:rPr>
              <w:t>优秀指导教师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pPr>
              <w:widowControl/>
              <w:jc w:val="center"/>
              <w:rPr>
                <w:rFonts w:cs="Arial" w:asciiTheme="majorEastAsia" w:hAnsiTheme="majorEastAsia" w:eastAsiaTheme="majorEastAsia"/>
                <w:spacing w:val="-2"/>
                <w:position w:val="-2"/>
              </w:rPr>
            </w:pPr>
          </w:p>
        </w:tc>
        <w:tc>
          <w:tcPr>
            <w:tcW w:w="2130" w:type="dxa"/>
            <w:vMerge w:val="continue"/>
            <w:vAlign w:val="center"/>
          </w:tcPr>
          <w:p>
            <w:pPr>
              <w:widowControl/>
              <w:jc w:val="center"/>
              <w:rPr>
                <w:rFonts w:cs="Arial" w:asciiTheme="majorEastAsia" w:hAnsiTheme="majorEastAsia" w:eastAsiaTheme="majorEastAsia"/>
                <w:spacing w:val="-2"/>
                <w:position w:val="-2"/>
              </w:rPr>
            </w:pPr>
          </w:p>
        </w:tc>
        <w:tc>
          <w:tcPr>
            <w:tcW w:w="2131"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教师教学能力大赛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1个团队</w:t>
            </w:r>
            <w:r>
              <w:rPr>
                <w:rFonts w:hint="eastAsia" w:cs="Arial" w:asciiTheme="majorEastAsia" w:hAnsiTheme="majorEastAsia" w:eastAsiaTheme="majorEastAsia"/>
                <w:spacing w:val="-2"/>
                <w:position w:val="-2"/>
              </w:rPr>
              <w:t>获</w:t>
            </w:r>
            <w:r>
              <w:rPr>
                <w:rFonts w:hint="eastAsia" w:cs="Arial" w:asciiTheme="majorEastAsia" w:hAnsiTheme="majorEastAsia" w:eastAsiaTheme="majorEastAsia"/>
                <w:spacing w:val="-2"/>
                <w:position w:val="-2"/>
                <w:lang w:eastAsia="zh-CN"/>
              </w:rPr>
              <w:t>一</w:t>
            </w:r>
            <w:r>
              <w:rPr>
                <w:rFonts w:hint="eastAsia" w:cs="Arial" w:asciiTheme="majorEastAsia" w:hAnsiTheme="majorEastAsia" w:eastAsiaTheme="majorEastAsia"/>
                <w:spacing w:val="-2"/>
                <w:position w:val="-2"/>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pPr>
              <w:widowControl/>
              <w:jc w:val="center"/>
              <w:rPr>
                <w:rFonts w:hint="eastAsia" w:cs="Arial" w:asciiTheme="majorEastAsia" w:hAnsiTheme="majorEastAsia" w:eastAsiaTheme="majorEastAsia"/>
                <w:spacing w:val="-2"/>
                <w:position w:val="-2"/>
                <w:lang w:eastAsia="zh-CN"/>
              </w:rPr>
            </w:pPr>
            <w:r>
              <w:rPr>
                <w:rFonts w:hint="eastAsia" w:cs="Arial" w:asciiTheme="majorEastAsia" w:hAnsiTheme="majorEastAsia" w:eastAsiaTheme="majorEastAsia"/>
                <w:spacing w:val="-2"/>
                <w:position w:val="-2"/>
                <w:lang w:val="en-US" w:eastAsia="zh-CN"/>
              </w:rPr>
              <w:t>2</w:t>
            </w:r>
          </w:p>
        </w:tc>
        <w:tc>
          <w:tcPr>
            <w:tcW w:w="213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市级</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学生</w:t>
            </w:r>
            <w:r>
              <w:rPr>
                <w:rFonts w:hint="eastAsia" w:cs="Arial" w:asciiTheme="majorEastAsia" w:hAnsiTheme="majorEastAsia" w:eastAsiaTheme="majorEastAsia"/>
                <w:spacing w:val="-2"/>
                <w:position w:val="-2"/>
              </w:rPr>
              <w:t>技能大赛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14</w:t>
            </w:r>
            <w:r>
              <w:rPr>
                <w:rFonts w:hint="eastAsia" w:cs="Arial" w:asciiTheme="majorEastAsia" w:hAnsiTheme="majorEastAsia" w:eastAsiaTheme="majorEastAsia"/>
                <w:spacing w:val="-2"/>
                <w:position w:val="-2"/>
              </w:rPr>
              <w:t>人获优秀指导教师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pPr>
              <w:widowControl/>
              <w:jc w:val="center"/>
              <w:rPr>
                <w:rFonts w:hint="eastAsia" w:cs="Arial" w:asciiTheme="majorEastAsia" w:hAnsiTheme="majorEastAsia" w:eastAsiaTheme="majorEastAsia"/>
                <w:spacing w:val="-2"/>
                <w:position w:val="-2"/>
                <w:lang w:val="en-US" w:eastAsia="zh-CN"/>
              </w:rPr>
            </w:pPr>
          </w:p>
        </w:tc>
        <w:tc>
          <w:tcPr>
            <w:tcW w:w="2130" w:type="dxa"/>
            <w:vMerge w:val="continue"/>
            <w:vAlign w:val="center"/>
          </w:tcPr>
          <w:p>
            <w:pPr>
              <w:widowControl/>
              <w:jc w:val="center"/>
              <w:rPr>
                <w:rFonts w:hint="eastAsia" w:cs="Arial" w:asciiTheme="majorEastAsia" w:hAnsiTheme="majorEastAsia" w:eastAsiaTheme="majorEastAsia"/>
                <w:spacing w:val="-2"/>
                <w:position w:val="-2"/>
              </w:rPr>
            </w:pPr>
          </w:p>
        </w:tc>
        <w:tc>
          <w:tcPr>
            <w:tcW w:w="2131"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教师技能大赛</w:t>
            </w:r>
          </w:p>
        </w:tc>
        <w:tc>
          <w:tcPr>
            <w:tcW w:w="2131" w:type="dxa"/>
            <w:vAlign w:val="center"/>
          </w:tcPr>
          <w:p>
            <w:pPr>
              <w:widowControl/>
              <w:ind w:firstLine="412" w:firstLineChars="200"/>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2人获一等奖</w:t>
            </w:r>
          </w:p>
          <w:p>
            <w:pPr>
              <w:widowControl/>
              <w:ind w:firstLine="412" w:firstLineChars="200"/>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2人获二等奖</w:t>
            </w:r>
          </w:p>
          <w:p>
            <w:pPr>
              <w:widowControl/>
              <w:ind w:firstLine="412" w:firstLineChars="200"/>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1人获三等奖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pPr>
              <w:widowControl/>
              <w:jc w:val="center"/>
              <w:rPr>
                <w:rFonts w:hint="eastAsia" w:cs="Arial" w:asciiTheme="majorEastAsia" w:hAnsiTheme="majorEastAsia" w:eastAsiaTheme="majorEastAsia"/>
                <w:spacing w:val="-2"/>
                <w:position w:val="-2"/>
                <w:lang w:val="en-US" w:eastAsia="zh-CN"/>
              </w:rPr>
            </w:pPr>
          </w:p>
        </w:tc>
        <w:tc>
          <w:tcPr>
            <w:tcW w:w="2130" w:type="dxa"/>
            <w:vMerge w:val="continue"/>
            <w:vAlign w:val="center"/>
          </w:tcPr>
          <w:p>
            <w:pPr>
              <w:widowControl/>
              <w:jc w:val="center"/>
              <w:rPr>
                <w:rFonts w:hint="eastAsia" w:cs="Arial" w:asciiTheme="majorEastAsia" w:hAnsiTheme="majorEastAsia" w:eastAsiaTheme="majorEastAsia"/>
                <w:spacing w:val="-2"/>
                <w:position w:val="-2"/>
              </w:rPr>
            </w:pPr>
          </w:p>
        </w:tc>
        <w:tc>
          <w:tcPr>
            <w:tcW w:w="2131"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教师教学能力大赛</w:t>
            </w:r>
          </w:p>
        </w:tc>
        <w:tc>
          <w:tcPr>
            <w:tcW w:w="2131"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2个团队获二等奖</w:t>
            </w:r>
          </w:p>
        </w:tc>
      </w:tr>
    </w:tbl>
    <w:p>
      <w:pPr>
        <w:widowControl/>
        <w:shd w:val="clear" w:color="auto" w:fill="FFFFFF"/>
        <w:ind w:firstLine="472" w:firstLineChars="200"/>
        <w:jc w:val="center"/>
        <w:rPr>
          <w:rFonts w:hint="eastAsia" w:cs="Arial" w:asciiTheme="majorEastAsia" w:hAnsiTheme="majorEastAsia" w:eastAsiaTheme="majorEastAsia"/>
          <w:spacing w:val="-2"/>
          <w:position w:val="-2"/>
          <w:sz w:val="24"/>
        </w:rPr>
      </w:pPr>
    </w:p>
    <w:p>
      <w:pPr>
        <w:widowControl/>
        <w:shd w:val="clear" w:color="auto" w:fill="FFFFFF"/>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教科研工作成果统计表</w:t>
      </w:r>
    </w:p>
    <w:tbl>
      <w:tblPr>
        <w:tblStyle w:val="10"/>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2670"/>
        <w:gridCol w:w="1050"/>
        <w:gridCol w:w="1090"/>
        <w:gridCol w:w="1775"/>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项目</w:t>
            </w:r>
          </w:p>
        </w:tc>
        <w:tc>
          <w:tcPr>
            <w:tcW w:w="267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国级</w:t>
            </w:r>
          </w:p>
        </w:tc>
        <w:tc>
          <w:tcPr>
            <w:tcW w:w="105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省级</w:t>
            </w:r>
          </w:p>
        </w:tc>
        <w:tc>
          <w:tcPr>
            <w:tcW w:w="109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市级</w:t>
            </w:r>
          </w:p>
        </w:tc>
        <w:tc>
          <w:tcPr>
            <w:tcW w:w="177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县级</w:t>
            </w:r>
          </w:p>
        </w:tc>
        <w:tc>
          <w:tcPr>
            <w:tcW w:w="906"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在研课题</w:t>
            </w:r>
          </w:p>
        </w:tc>
        <w:tc>
          <w:tcPr>
            <w:tcW w:w="2670"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3</w:t>
            </w:r>
          </w:p>
        </w:tc>
        <w:tc>
          <w:tcPr>
            <w:tcW w:w="105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1项结题</w:t>
            </w:r>
          </w:p>
        </w:tc>
        <w:tc>
          <w:tcPr>
            <w:tcW w:w="109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1项结题</w:t>
            </w:r>
          </w:p>
        </w:tc>
        <w:tc>
          <w:tcPr>
            <w:tcW w:w="1775" w:type="dxa"/>
            <w:vAlign w:val="center"/>
          </w:tcPr>
          <w:p>
            <w:pPr>
              <w:widowControl/>
              <w:jc w:val="center"/>
              <w:rPr>
                <w:rFonts w:cs="Arial" w:asciiTheme="majorEastAsia" w:hAnsiTheme="majorEastAsia" w:eastAsiaTheme="majorEastAsia"/>
                <w:spacing w:val="-2"/>
                <w:position w:val="-2"/>
              </w:rPr>
            </w:pPr>
          </w:p>
        </w:tc>
        <w:tc>
          <w:tcPr>
            <w:tcW w:w="906" w:type="dxa"/>
            <w:vAlign w:val="center"/>
          </w:tcPr>
          <w:p>
            <w:pPr>
              <w:widowControl/>
              <w:jc w:val="center"/>
              <w:rPr>
                <w:rFonts w:cs="Arial" w:asciiTheme="majorEastAsia" w:hAnsiTheme="majorEastAsia" w:eastAsiaTheme="maj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vAlign w:val="center"/>
          </w:tcPr>
          <w:p>
            <w:pPr>
              <w:widowControl/>
              <w:ind w:firstLine="412" w:firstLineChars="200"/>
              <w:jc w:val="center"/>
              <w:rPr>
                <w:rFonts w:hint="eastAsia"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论文发表</w:t>
            </w:r>
          </w:p>
          <w:p>
            <w:pPr>
              <w:widowControl/>
              <w:ind w:firstLine="412" w:firstLineChars="200"/>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获奖</w:t>
            </w:r>
          </w:p>
        </w:tc>
        <w:tc>
          <w:tcPr>
            <w:tcW w:w="2670" w:type="dxa"/>
            <w:vAlign w:val="center"/>
          </w:tcPr>
          <w:p>
            <w:pPr>
              <w:widowControl/>
              <w:ind w:firstLine="412" w:firstLineChars="200"/>
              <w:jc w:val="left"/>
              <w:rPr>
                <w:rFonts w:hint="eastAsia"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1.2020年9月</w:t>
            </w:r>
            <w:r>
              <w:rPr>
                <w:rFonts w:hint="eastAsia" w:cs="Arial" w:asciiTheme="majorEastAsia" w:hAnsiTheme="majorEastAsia" w:eastAsiaTheme="majorEastAsia"/>
                <w:spacing w:val="-2"/>
                <w:position w:val="-2"/>
              </w:rPr>
              <w:t>获得“第三届全国名师工作室创新发展成果博览会”优秀课例一等奖</w:t>
            </w:r>
          </w:p>
          <w:p>
            <w:pPr>
              <w:widowControl/>
              <w:ind w:firstLine="412" w:firstLineChars="200"/>
              <w:jc w:val="left"/>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2.2021年6月获得“第十四届全国教师教学设计创意大赛”课件一等奖、教学设计二等奖</w:t>
            </w:r>
          </w:p>
          <w:p>
            <w:pPr>
              <w:widowControl/>
              <w:ind w:firstLine="412" w:firstLineChars="200"/>
              <w:jc w:val="left"/>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3.2021年7月获得“全国名师工作室创新发展成果博览会”优秀教学设计一等奖</w:t>
            </w:r>
          </w:p>
          <w:p>
            <w:pPr>
              <w:widowControl/>
              <w:ind w:firstLine="412" w:firstLineChars="200"/>
              <w:jc w:val="left"/>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4.论文《心理资本视阈下中职心理健康教育与德育双向融合研究》发表于《爱情婚姻家庭：教育研究》2021年第08期</w:t>
            </w:r>
          </w:p>
        </w:tc>
        <w:tc>
          <w:tcPr>
            <w:tcW w:w="1050" w:type="dxa"/>
            <w:vAlign w:val="center"/>
          </w:tcPr>
          <w:p>
            <w:pPr>
              <w:widowControl/>
              <w:jc w:val="center"/>
              <w:rPr>
                <w:rFonts w:cs="Arial" w:asciiTheme="majorEastAsia" w:hAnsiTheme="majorEastAsia" w:eastAsiaTheme="majorEastAsia"/>
                <w:spacing w:val="-2"/>
                <w:position w:val="-2"/>
              </w:rPr>
            </w:pPr>
          </w:p>
        </w:tc>
        <w:tc>
          <w:tcPr>
            <w:tcW w:w="109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w:t>
            </w:r>
            <w:r>
              <w:rPr>
                <w:rFonts w:hint="eastAsia" w:cs="Arial" w:asciiTheme="majorEastAsia" w:hAnsiTheme="majorEastAsia" w:eastAsiaTheme="majorEastAsia"/>
                <w:spacing w:val="-2"/>
                <w:position w:val="-2"/>
              </w:rPr>
              <w:t>篇</w:t>
            </w:r>
          </w:p>
        </w:tc>
        <w:tc>
          <w:tcPr>
            <w:tcW w:w="1775" w:type="dxa"/>
            <w:vAlign w:val="center"/>
          </w:tcPr>
          <w:p>
            <w:pPr>
              <w:widowControl/>
              <w:jc w:val="center"/>
              <w:rPr>
                <w:rFonts w:cs="Arial" w:asciiTheme="majorEastAsia" w:hAnsiTheme="majorEastAsia" w:eastAsiaTheme="majorEastAsia"/>
                <w:spacing w:val="-2"/>
                <w:position w:val="-2"/>
              </w:rPr>
            </w:pPr>
          </w:p>
        </w:tc>
        <w:tc>
          <w:tcPr>
            <w:tcW w:w="906"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12</w:t>
            </w:r>
            <w:r>
              <w:rPr>
                <w:rFonts w:hint="eastAsia" w:cs="Arial" w:asciiTheme="majorEastAsia" w:hAnsiTheme="majorEastAsia" w:eastAsiaTheme="majorEastAsia"/>
                <w:spacing w:val="-2"/>
                <w:position w:val="-2"/>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优秀教案</w:t>
            </w:r>
          </w:p>
        </w:tc>
        <w:tc>
          <w:tcPr>
            <w:tcW w:w="2670" w:type="dxa"/>
            <w:vAlign w:val="center"/>
          </w:tcPr>
          <w:p>
            <w:pPr>
              <w:widowControl/>
              <w:jc w:val="center"/>
              <w:rPr>
                <w:rFonts w:cs="Arial" w:asciiTheme="majorEastAsia" w:hAnsiTheme="majorEastAsia" w:eastAsiaTheme="majorEastAsia"/>
                <w:spacing w:val="-2"/>
                <w:position w:val="-2"/>
              </w:rPr>
            </w:pPr>
          </w:p>
        </w:tc>
        <w:tc>
          <w:tcPr>
            <w:tcW w:w="1050" w:type="dxa"/>
            <w:vAlign w:val="center"/>
          </w:tcPr>
          <w:p>
            <w:pPr>
              <w:widowControl/>
              <w:jc w:val="center"/>
              <w:rPr>
                <w:rFonts w:cs="Arial" w:asciiTheme="majorEastAsia" w:hAnsiTheme="majorEastAsia" w:eastAsiaTheme="majorEastAsia"/>
                <w:spacing w:val="-2"/>
                <w:position w:val="-2"/>
              </w:rPr>
            </w:pPr>
          </w:p>
        </w:tc>
        <w:tc>
          <w:tcPr>
            <w:tcW w:w="1090" w:type="dxa"/>
            <w:vAlign w:val="center"/>
          </w:tcPr>
          <w:p>
            <w:pPr>
              <w:widowControl/>
              <w:jc w:val="center"/>
              <w:rPr>
                <w:rFonts w:cs="Arial" w:asciiTheme="majorEastAsia" w:hAnsiTheme="majorEastAsia" w:eastAsiaTheme="majorEastAsia"/>
                <w:spacing w:val="-2"/>
                <w:position w:val="-2"/>
              </w:rPr>
            </w:pPr>
          </w:p>
        </w:tc>
        <w:tc>
          <w:tcPr>
            <w:tcW w:w="1775" w:type="dxa"/>
            <w:vAlign w:val="center"/>
          </w:tcPr>
          <w:p>
            <w:pPr>
              <w:widowControl/>
              <w:jc w:val="center"/>
              <w:rPr>
                <w:rFonts w:cs="Arial" w:asciiTheme="majorEastAsia" w:hAnsiTheme="majorEastAsia" w:eastAsiaTheme="majorEastAsia"/>
                <w:spacing w:val="-2"/>
                <w:position w:val="-2"/>
              </w:rPr>
            </w:pPr>
          </w:p>
        </w:tc>
        <w:tc>
          <w:tcPr>
            <w:tcW w:w="906"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42份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教学评展</w:t>
            </w:r>
          </w:p>
        </w:tc>
        <w:tc>
          <w:tcPr>
            <w:tcW w:w="2670" w:type="dxa"/>
            <w:vAlign w:val="center"/>
          </w:tcPr>
          <w:p>
            <w:pPr>
              <w:widowControl/>
              <w:jc w:val="center"/>
              <w:rPr>
                <w:rFonts w:cs="Arial" w:asciiTheme="majorEastAsia" w:hAnsiTheme="majorEastAsia" w:eastAsiaTheme="majorEastAsia"/>
                <w:spacing w:val="-2"/>
                <w:position w:val="-2"/>
              </w:rPr>
            </w:pPr>
          </w:p>
        </w:tc>
        <w:tc>
          <w:tcPr>
            <w:tcW w:w="1050" w:type="dxa"/>
            <w:vAlign w:val="center"/>
          </w:tcPr>
          <w:p>
            <w:pPr>
              <w:widowControl/>
              <w:jc w:val="center"/>
              <w:rPr>
                <w:rFonts w:cs="Arial" w:asciiTheme="majorEastAsia" w:hAnsiTheme="majorEastAsia" w:eastAsiaTheme="majorEastAsia"/>
                <w:spacing w:val="-2"/>
                <w:position w:val="-2"/>
              </w:rPr>
            </w:pPr>
          </w:p>
        </w:tc>
        <w:tc>
          <w:tcPr>
            <w:tcW w:w="1090" w:type="dxa"/>
            <w:vAlign w:val="center"/>
          </w:tcPr>
          <w:p>
            <w:pPr>
              <w:widowControl/>
              <w:jc w:val="center"/>
              <w:rPr>
                <w:rFonts w:cs="Arial" w:asciiTheme="majorEastAsia" w:hAnsiTheme="majorEastAsia" w:eastAsiaTheme="majorEastAsia"/>
                <w:spacing w:val="-2"/>
                <w:position w:val="-2"/>
              </w:rPr>
            </w:pPr>
          </w:p>
        </w:tc>
        <w:tc>
          <w:tcPr>
            <w:tcW w:w="1775" w:type="dxa"/>
            <w:vAlign w:val="center"/>
          </w:tcPr>
          <w:p>
            <w:pPr>
              <w:widowControl/>
              <w:jc w:val="center"/>
              <w:rPr>
                <w:rFonts w:cs="Arial" w:asciiTheme="majorEastAsia" w:hAnsiTheme="majorEastAsia" w:eastAsiaTheme="majorEastAsia"/>
                <w:spacing w:val="-2"/>
                <w:position w:val="-2"/>
              </w:rPr>
            </w:pPr>
            <w:r>
              <w:rPr>
                <w:rFonts w:hint="eastAsia" w:ascii="宋体" w:hAnsi="宋体" w:eastAsia="宋体" w:cs="宋体"/>
                <w:spacing w:val="-2"/>
                <w:position w:val="-2"/>
                <w:lang w:val="en-US" w:eastAsia="zh-CN"/>
              </w:rPr>
              <w:t>1人在</w:t>
            </w:r>
            <w:r>
              <w:rPr>
                <w:rFonts w:hint="eastAsia" w:ascii="宋体" w:hAnsi="宋体" w:eastAsia="宋体" w:cs="宋体"/>
                <w:spacing w:val="-2"/>
                <w:position w:val="-2"/>
              </w:rPr>
              <w:t>2021年红山区第</w:t>
            </w:r>
            <w:r>
              <w:rPr>
                <w:rFonts w:hint="eastAsia" w:cs="Arial" w:asciiTheme="majorEastAsia" w:hAnsiTheme="majorEastAsia" w:eastAsiaTheme="majorEastAsia"/>
                <w:spacing w:val="-2"/>
                <w:position w:val="-2"/>
              </w:rPr>
              <w:t>九届新课程教师教学能力竞赛一等奖</w:t>
            </w:r>
          </w:p>
        </w:tc>
        <w:tc>
          <w:tcPr>
            <w:tcW w:w="906"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58</w:t>
            </w:r>
            <w:r>
              <w:rPr>
                <w:rFonts w:hint="eastAsia" w:cs="Arial" w:asciiTheme="majorEastAsia" w:hAnsiTheme="majorEastAsia" w:eastAsiaTheme="majorEastAsia"/>
                <w:spacing w:val="-2"/>
                <w:position w:val="-2"/>
              </w:rPr>
              <w:t>人次</w:t>
            </w:r>
          </w:p>
        </w:tc>
      </w:tr>
    </w:tbl>
    <w:p>
      <w:pPr>
        <w:widowControl/>
        <w:shd w:val="clear" w:color="auto" w:fill="FFFFFF"/>
        <w:spacing w:line="440" w:lineRule="exact"/>
        <w:ind w:firstLine="474" w:firstLineChars="200"/>
        <w:rPr>
          <w:rFonts w:hint="eastAsia" w:asciiTheme="minorEastAsia" w:hAnsiTheme="minorEastAsia" w:eastAsiaTheme="minorEastAsia"/>
          <w:b/>
          <w:spacing w:val="-2"/>
          <w:kern w:val="0"/>
          <w:position w:val="-2"/>
          <w:sz w:val="24"/>
        </w:rPr>
      </w:pPr>
    </w:p>
    <w:p>
      <w:pPr>
        <w:widowControl/>
        <w:shd w:val="clear" w:color="auto" w:fill="FFFFFF"/>
        <w:spacing w:line="440" w:lineRule="exact"/>
        <w:ind w:firstLine="474" w:firstLineChars="200"/>
        <w:rPr>
          <w:rFonts w:hint="eastAsia" w:asciiTheme="minorEastAsia" w:hAnsiTheme="minorEastAsia" w:eastAsiaTheme="minorEastAsia"/>
          <w:b/>
          <w:spacing w:val="-2"/>
          <w:kern w:val="0"/>
          <w:position w:val="-2"/>
          <w:sz w:val="24"/>
          <w:lang w:eastAsia="zh-CN"/>
        </w:rPr>
      </w:pPr>
      <w:r>
        <w:rPr>
          <w:rFonts w:hint="eastAsia" w:asciiTheme="minorEastAsia" w:hAnsiTheme="minorEastAsia" w:eastAsiaTheme="minorEastAsia"/>
          <w:b/>
          <w:spacing w:val="-2"/>
          <w:kern w:val="0"/>
          <w:position w:val="-2"/>
          <w:sz w:val="24"/>
        </w:rPr>
        <w:t>3.</w:t>
      </w:r>
      <w:r>
        <w:rPr>
          <w:rFonts w:hint="eastAsia" w:asciiTheme="minorEastAsia" w:hAnsiTheme="minorEastAsia" w:eastAsiaTheme="minorEastAsia"/>
          <w:b/>
          <w:spacing w:val="-2"/>
          <w:kern w:val="0"/>
          <w:position w:val="-2"/>
          <w:sz w:val="24"/>
          <w:lang w:val="en-US" w:eastAsia="zh-CN"/>
        </w:rPr>
        <w:t>5</w:t>
      </w:r>
      <w:r>
        <w:rPr>
          <w:rFonts w:hint="eastAsia" w:asciiTheme="minorEastAsia" w:hAnsiTheme="minorEastAsia" w:eastAsiaTheme="minorEastAsia"/>
          <w:b/>
          <w:spacing w:val="-2"/>
          <w:kern w:val="0"/>
          <w:position w:val="-2"/>
          <w:sz w:val="24"/>
        </w:rPr>
        <w:t>规范管理</w:t>
      </w:r>
      <w:r>
        <w:rPr>
          <w:rFonts w:hint="eastAsia" w:asciiTheme="minorEastAsia" w:hAnsiTheme="minorEastAsia" w:eastAsiaTheme="minorEastAsia"/>
          <w:b/>
          <w:spacing w:val="-2"/>
          <w:kern w:val="0"/>
          <w:position w:val="-2"/>
          <w:sz w:val="24"/>
          <w:lang w:eastAsia="zh-CN"/>
        </w:rPr>
        <w:t>情况</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asciiTheme="minorEastAsia" w:hAnsiTheme="minorEastAsia" w:eastAsiaTheme="minorEastAsia"/>
          <w:spacing w:val="-2"/>
          <w:kern w:val="0"/>
          <w:position w:val="-2"/>
          <w:sz w:val="24"/>
          <w:lang w:eastAsia="zh-CN"/>
        </w:rPr>
      </w:pPr>
      <w:r>
        <w:rPr>
          <w:rFonts w:hint="eastAsia" w:asciiTheme="minorEastAsia" w:hAnsiTheme="minorEastAsia" w:eastAsiaTheme="minorEastAsia"/>
          <w:spacing w:val="-2"/>
          <w:kern w:val="0"/>
          <w:position w:val="-2"/>
          <w:sz w:val="24"/>
          <w:lang w:eastAsia="zh-CN"/>
        </w:rPr>
        <w:t>通过自治区改革发展示范校建设，建立和完善了</w:t>
      </w:r>
      <w:r>
        <w:rPr>
          <w:rFonts w:hint="eastAsia" w:asciiTheme="minorEastAsia" w:hAnsiTheme="minorEastAsia" w:eastAsiaTheme="minorEastAsia"/>
          <w:spacing w:val="-2"/>
          <w:kern w:val="0"/>
          <w:position w:val="-2"/>
          <w:sz w:val="24"/>
        </w:rPr>
        <w:t>教学管理体系，设立教务处和专业部，部门管理职责权限明确。教学管理制度规范、完备，实施计划管理。</w:t>
      </w:r>
      <w:r>
        <w:rPr>
          <w:rFonts w:hint="eastAsia" w:asciiTheme="minorEastAsia" w:hAnsiTheme="minorEastAsia" w:eastAsiaTheme="minorEastAsia"/>
          <w:spacing w:val="-2"/>
          <w:kern w:val="0"/>
          <w:position w:val="-2"/>
          <w:sz w:val="24"/>
          <w:lang w:eastAsia="zh-CN"/>
        </w:rPr>
        <w:t>探索实行人才培养方案公开制度，探索建立国家、省、校教师教学能力比赛机制。加强课堂教学常规管理，严格执行教学计划。坚持每月一次教学工作例会，提供专业主任交流教学、教研、校企合作、竞赛辅导等好做法的交流平台，通报专业教学、教研情况。按照中职基础课（政治、语文、历史）课程标准，开齐开足公共课。按照教育部职业教育教材管理办法要求选用教材，按照人才培养方案和实施性教学计划开设课程，开足、开齐必修课程，运用现代信息技术改进教学管理方式方法。加强教育科研过程管理，对已立项的课题的开题、研究过程要进行督查，增加自治区级、国家级课题立项数量。让课题研究真实起来，切实解决好学校教育教学中的重点、难点、热点问题。做好优秀教研成果推广工作。</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asciiTheme="minorEastAsia" w:hAnsiTheme="minorEastAsia" w:eastAsiaTheme="minorEastAsia"/>
          <w:spacing w:val="-2"/>
          <w:kern w:val="0"/>
          <w:position w:val="-2"/>
          <w:sz w:val="24"/>
          <w:lang w:eastAsia="zh-CN"/>
        </w:rPr>
      </w:pPr>
      <w:r>
        <w:rPr>
          <w:rFonts w:hint="eastAsia" w:asciiTheme="minorEastAsia" w:hAnsiTheme="minorEastAsia" w:eastAsiaTheme="minorEastAsia"/>
          <w:spacing w:val="-2"/>
          <w:kern w:val="0"/>
          <w:position w:val="-2"/>
          <w:sz w:val="24"/>
          <w:lang w:eastAsia="zh-CN"/>
        </w:rPr>
        <w:t>加强德育队伍建设，不断提高德育队伍的整体素养。发挥学管处的核心作用，形成了七大专业紧密配合，专业德育副主任、班主任、任课教师共同承担的纵向连接的德育工作体系。加强班主任队伍建设，注重班主任工作过程和结果考核，发挥好班主任在学生管理工作中的主体作用。通过党史学习教育，加强学生思想道德建设。团委对新团员进行团课培训共20学时，团干部培训共8课时。通过微信公众号党史百年天天读、党史微课堂、党史学习教育宣传等，夯实学生思想道德建设，使全体学生知史爱党、知史爱国。通过爱国主义教育活动，铸牢学生中华民族共同体意识。落实贯彻《关于中加强中小学手机管理的通知》，制定学生手机管理实施方案，实行所有学生在校期间严禁使用手机。运用智能化管理系统优化住宿学生管理，继续实行封闭式管理，严格实行“三不准”安全管理制度，做到非上放学时段没有班主任许可不准外出、班主任没有与家长沟通不准给假、外来人员没有批准一律不准进入学校。</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default" w:asciiTheme="minorEastAsia" w:hAnsiTheme="minorEastAsia" w:eastAsiaTheme="minorEastAsia"/>
          <w:spacing w:val="-2"/>
          <w:kern w:val="0"/>
          <w:position w:val="-2"/>
          <w:sz w:val="24"/>
          <w:lang w:val="en-US" w:eastAsia="zh-CN"/>
        </w:rPr>
      </w:pPr>
      <w:r>
        <w:rPr>
          <w:rFonts w:hint="eastAsia" w:asciiTheme="minorEastAsia" w:hAnsiTheme="minorEastAsia" w:eastAsiaTheme="minorEastAsia"/>
          <w:spacing w:val="-2"/>
          <w:kern w:val="0"/>
          <w:position w:val="-2"/>
          <w:sz w:val="24"/>
          <w:lang w:eastAsia="zh-CN"/>
        </w:rPr>
        <w:t>建立健全“党政同责、一岗双责、齐抓共管，尽职免责、失职追责”的安全工作责任体系。建立学校安全隐患排查长效机制。落实“三个清单”制度，集中治理重大安全隐患。完善应对突发事件预案，提高应急处置能力。做好学校实习实训场所安全规范管理。坚持安全工作常抓不懈，完善安全基础设施建设，完善人防、物防、技防措施，把各项安全工作制度落实落细。学校无安全责任事故发生，平安校园建设见成效。落实学校网络安全责任制，开展信息化全员培训，提升师生信息素养，提高全员信息化应用水平。修订相关管理制度，提升学生管理服务水平，综合运用大数据等手段推进学校教学、管理、服务方式变革，通过信息技术提升德育管理团队素养。学校在</w:t>
      </w:r>
      <w:r>
        <w:rPr>
          <w:rFonts w:hint="eastAsia" w:asciiTheme="minorEastAsia" w:hAnsiTheme="minorEastAsia" w:eastAsiaTheme="minorEastAsia"/>
          <w:spacing w:val="-2"/>
          <w:kern w:val="0"/>
          <w:position w:val="-2"/>
          <w:sz w:val="24"/>
          <w:lang w:val="en-US" w:eastAsia="zh-CN"/>
        </w:rPr>
        <w:t>2020年红山区中小学年度综合评价中名列前茅。</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spacing w:val="-2"/>
          <w:position w:val="-2"/>
          <w:sz w:val="24"/>
          <w:lang w:eastAsia="zh-CN"/>
        </w:rPr>
      </w:pPr>
      <w:r>
        <w:rPr>
          <w:rFonts w:hint="eastAsia" w:cs="Arial" w:asciiTheme="minorEastAsia" w:hAnsiTheme="minorEastAsia" w:eastAsiaTheme="minorEastAsia"/>
          <w:b/>
          <w:spacing w:val="-2"/>
          <w:position w:val="-2"/>
          <w:sz w:val="24"/>
        </w:rPr>
        <w:t>3.</w:t>
      </w:r>
      <w:r>
        <w:rPr>
          <w:rFonts w:hint="eastAsia" w:cs="Arial" w:asciiTheme="minorEastAsia" w:hAnsiTheme="minorEastAsia" w:eastAsiaTheme="minorEastAsia"/>
          <w:b/>
          <w:spacing w:val="-2"/>
          <w:position w:val="-2"/>
          <w:sz w:val="24"/>
          <w:lang w:val="en-US" w:eastAsia="zh-CN"/>
        </w:rPr>
        <w:t>6</w:t>
      </w:r>
      <w:r>
        <w:rPr>
          <w:rFonts w:hint="eastAsia" w:cs="Arial" w:asciiTheme="minorEastAsia" w:hAnsiTheme="minorEastAsia" w:eastAsiaTheme="minorEastAsia"/>
          <w:b/>
          <w:spacing w:val="-2"/>
          <w:position w:val="-2"/>
          <w:sz w:val="24"/>
        </w:rPr>
        <w:t>德育工作</w:t>
      </w:r>
      <w:r>
        <w:rPr>
          <w:rFonts w:hint="eastAsia" w:cs="Arial" w:asciiTheme="minorEastAsia" w:hAnsiTheme="minorEastAsia" w:eastAsiaTheme="minorEastAsia"/>
          <w:b/>
          <w:spacing w:val="-2"/>
          <w:position w:val="-2"/>
          <w:sz w:val="24"/>
          <w:lang w:eastAsia="zh-CN"/>
        </w:rPr>
        <w:t>情况</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3.6.1德育课实施情况</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德育课是学生思想政治教育的主阵地和主渠道，是落实立德树人根本任务的关键课程。</w:t>
      </w:r>
      <w:r>
        <w:rPr>
          <w:rFonts w:hint="eastAsia" w:cs="Arial" w:asciiTheme="minorEastAsia" w:hAnsiTheme="minorEastAsia" w:eastAsiaTheme="minorEastAsia"/>
          <w:spacing w:val="-2"/>
          <w:position w:val="-2"/>
          <w:sz w:val="24"/>
          <w:lang w:eastAsia="zh-CN"/>
        </w:rPr>
        <w:t>学校</w:t>
      </w:r>
      <w:r>
        <w:rPr>
          <w:rFonts w:hint="eastAsia" w:cs="Arial" w:asciiTheme="minorEastAsia" w:hAnsiTheme="minorEastAsia" w:eastAsiaTheme="minorEastAsia"/>
          <w:spacing w:val="-2"/>
          <w:position w:val="-2"/>
          <w:sz w:val="24"/>
        </w:rPr>
        <w:t>通过“思政课程”+“课程思政”体系建设为引领，在学生中扎实开展党史学习教育，开足开齐思政课、深入落实 “课前德育三分钟”、开发国学校本教材、坚持升旗仪式、主题班团会教育、创建书香校园、文明校园及安全校园、传承非遗文化、开展心理健康教育等为抓手，培育和践行社会主义核心价值观，引导学生树立正确的政治方向，坚定理想信念，厚植爱国主义情怀，提高职业道德素质、法治素养和心理健康水平，培养学生成为德智体美劳全面发展以及堪当时代大任的社会主义建设者和接班人。</w:t>
      </w:r>
      <w:r>
        <w:rPr>
          <w:rFonts w:hint="eastAsia" w:cs="Arial" w:asciiTheme="minorEastAsia" w:hAnsiTheme="minorEastAsia" w:eastAsiaTheme="minorEastAsia"/>
          <w:spacing w:val="-2"/>
          <w:position w:val="-2"/>
          <w:sz w:val="24"/>
          <w:lang w:eastAsia="zh-CN"/>
        </w:rPr>
        <w:t>疫情防控期间</w:t>
      </w:r>
      <w:r>
        <w:rPr>
          <w:rFonts w:hint="eastAsia" w:cs="Arial" w:asciiTheme="minorEastAsia" w:hAnsiTheme="minorEastAsia" w:eastAsiaTheme="minorEastAsia"/>
          <w:spacing w:val="-2"/>
          <w:position w:val="-2"/>
          <w:sz w:val="24"/>
        </w:rPr>
        <w:t>还通过线上教学的方式开足开齐德育课，有效贯彻落实“停课不停学”的要求。</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3.6.2德育管理人员</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以建立一支高素质的德育管理队伍为目标，切实提高德育工作水平。通过学管处——专业德育主任——班主任——学生干部的层级设置，使德育管理层层渗透、人人参与，提高了管理的实效性。通过德育干部培训会议、月总结会议、班主任培训、班团干部培训等方面来打造高素质的德育队伍。德育干部、班主任在会议中互相汇报工作、交流方法，在学习和研讨中促进学校德育工作整体发展，营造良好育人环境。团委开展学生干部党史学习教育团课培训班，使学生干部思想觉悟提高，自我管理能力增强，在学生团体中起到模范带头作用。</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3.6.3名班主任工作室</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赤峰一职专班主任工作室进行初步创建研讨，确立建设目标、建设方向，成员由14名优秀班主任组成。通过例会，研讨了工作室成立的目的和意义以及现阶段学校德育工作现状及迫切需要解决的问题。通过班主任工作室的建立，进一步推进班主任专业化的发展，充分发挥优秀班主任的示范引领作用，把理论知识转化为实践能力，诊断班级管理出现的难点、焦点、热点问题，精准开方施良策，真正解决班级管理中的棘手问题，逐步</w:t>
      </w:r>
      <w:r>
        <w:rPr>
          <w:rFonts w:hint="eastAsia" w:cs="Arial" w:asciiTheme="minorEastAsia" w:hAnsiTheme="minorEastAsia" w:eastAsiaTheme="minorEastAsia"/>
          <w:spacing w:val="-2"/>
          <w:position w:val="-2"/>
          <w:sz w:val="24"/>
          <w:lang w:val="en-US" w:eastAsia="zh-CN"/>
        </w:rPr>
        <w:t>实现</w:t>
      </w:r>
      <w:r>
        <w:rPr>
          <w:rFonts w:hint="eastAsia" w:cs="Arial" w:asciiTheme="minorEastAsia" w:hAnsiTheme="minorEastAsia" w:eastAsiaTheme="minorEastAsia"/>
          <w:spacing w:val="-2"/>
          <w:position w:val="-2"/>
          <w:sz w:val="24"/>
        </w:rPr>
        <w:t>班班有特色，班班有品牌，助推学校内涵提升。</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3.6.4校园文化建设</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2"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持续深化校园文化建设，坚持把价值观自信作为文化自信的根本，注重挖掘爱国奉献精神内涵和学校深厚文化底蕴，将传递“一职精神”作为社会主义核心价值观落小落细落实的重要载体。学校党委书记坚持为新生上开学第一堂课，回顾学校一年的成绩与多年来的奋斗历程，增强新生荣誉感与使命感。深化思政课改革，校党委书记组织召开思政研讨会，为全校师生开设国学和党史直播课堂，引导学生思考“中国自信从何处来”。通过开学典礼、五四成人礼等活动大力弘扬职业精神、劳动精神。不断挖掘校训、校风、教风、学风、校徽、一职精神等核心文化内涵，在校园环境中通过书画作品、雕塑、校园指示牌等展示校园文化，潜移默化中以文化人、以文育人。</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74" w:firstLineChars="200"/>
        <w:textAlignment w:val="auto"/>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3.6.5文明风采开展情况</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以“让教育因活动而精彩”为宗旨，深入开展文明风采活动，扎实推进活动育人。通过开学第一课、学雷锋志愿服务活动、成人礼、读书分享活动、合唱展演、舞蹈比赛、校园足球赛、经典诵读大赛、演讲比赛、书画展、技能展、篮球赛、活力大课间、校园啦啦操等活动，营造“人人皆可成才、人人尽展其才”的良好环境，弘扬“劳动光荣、技能宝贵、创造伟大”的时代风尚，以赛促教、以赛促学，不断提高学生思想道德素质和综合素养，促进学生在活动中全面发展、健康成长。</w:t>
      </w:r>
    </w:p>
    <w:p>
      <w:pPr>
        <w:widowControl/>
        <w:shd w:val="clear" w:color="auto" w:fill="FFFFFF"/>
        <w:spacing w:line="440" w:lineRule="exact"/>
        <w:ind w:firstLine="474" w:firstLineChars="200"/>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3.6.6社团活动</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加强学生社团的质量建设，创新学生社团的管理机制和运行机制，充分调动发挥学生社团在学生特长发展和个性培育方面的作用。重点建设合唱、联盟吉他等校内精品社团、优秀社团，积极开展校内外活动，扩大影响。通过活动、管理，提升社团骨干的工作能力与水平。整改运行不规范社团、取缔鸡肋社团。有效发挥团委、学生会的在社团管理中作用，支持各专业各班级社团发展，努力为他们争取到相对固定的活动场地和活动时间。目前学生社团21个，每周开展丰富多彩的社团活动，切实丰富了学生校园生活。</w:t>
      </w:r>
    </w:p>
    <w:p>
      <w:pPr>
        <w:widowControl/>
        <w:shd w:val="clear" w:color="auto" w:fill="FFFFFF"/>
        <w:spacing w:line="440" w:lineRule="exact"/>
        <w:ind w:firstLine="474" w:firstLineChars="200"/>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3.6.7团组织学生会建设及活动</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学校团委定期开展团校、团干培训，健全组织机构，完善工作机制。围绕“学党史 强信念 跟党走”主题团课，让全体新老团员、团干部知史爱党、知史爱国，同时讲解团的基本知识、基本理论和时事政治，切实提升团员学生的政治理论素养，做好党的先锋队。团委紧握时代脉搏，在雷锋纪念日、植树节、清明节、五一劳动节、五四青年节、建党100周年等重大纪念日，积极开展主题教育活动，坚持周一升国旗仪式、坚持每天两次校园广播活跃校园文化氛围，坚持每月带领青年学生开展志愿者活动，提高服务社会、无私奉献的能力。通过共青团工作对学生进行爱国主义、集体主义教育，培养学生爱护环境、热爱劳动优良品质。加强学生会建设，通过初试、面试、复试环节成立第六届学生会，配合学校工作，做好学生自我管理和先进模范带头工作。</w:t>
      </w:r>
    </w:p>
    <w:p>
      <w:pPr>
        <w:widowControl/>
        <w:shd w:val="clear" w:color="auto" w:fill="FFFFFF"/>
        <w:spacing w:line="440" w:lineRule="exact"/>
        <w:ind w:firstLine="474" w:firstLineChars="200"/>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3.6.8</w:t>
      </w:r>
      <w:r>
        <w:rPr>
          <w:rFonts w:hint="eastAsia" w:cs="Arial" w:asciiTheme="minorEastAsia" w:hAnsiTheme="minorEastAsia" w:eastAsiaTheme="minorEastAsia"/>
          <w:b/>
          <w:bCs/>
          <w:spacing w:val="-2"/>
          <w:position w:val="-2"/>
          <w:sz w:val="24"/>
          <w:lang w:val="en-US" w:eastAsia="zh-CN"/>
        </w:rPr>
        <w:t xml:space="preserve"> </w:t>
      </w:r>
      <w:r>
        <w:rPr>
          <w:rFonts w:hint="eastAsia" w:cs="Arial" w:asciiTheme="minorEastAsia" w:hAnsiTheme="minorEastAsia" w:eastAsiaTheme="minorEastAsia"/>
          <w:b/>
          <w:bCs/>
          <w:spacing w:val="-2"/>
          <w:position w:val="-2"/>
          <w:sz w:val="24"/>
        </w:rPr>
        <w:t>“三全育人”典型学校建设</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学校承接了《职业教育提质培优行动计划（2020-2023年）》 “培育200所左右‘三全育人’典型学校”项目建设，通过健全“思政课程+课程思政”课程体系、打造名班主任工作室、推进传统文化育人、优化德育管理育人、提升心理辅导成效、扩大资助育人宣传、统筹各方面育人资源和育人力量，进一步完善学校“十大育人”工作体系，将社会主义核心价值观教育贯穿人才培养全过程。通过1-3年建设周期，构建职业教育“三全育人”新格局，为申报200所国家级“三全育人”典型学校建设打下坚实基础，从而有效落实立德树人根本任务。</w:t>
      </w:r>
    </w:p>
    <w:p>
      <w:pPr>
        <w:widowControl/>
        <w:shd w:val="clear" w:color="auto" w:fill="FFFFFF"/>
        <w:spacing w:line="440" w:lineRule="exact"/>
        <w:ind w:firstLine="474" w:firstLineChars="200"/>
        <w:rPr>
          <w:rFonts w:hint="eastAsia"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3.6.9</w:t>
      </w:r>
      <w:r>
        <w:rPr>
          <w:rFonts w:hint="eastAsia" w:cs="Arial" w:asciiTheme="minorEastAsia" w:hAnsiTheme="minorEastAsia" w:eastAsiaTheme="minorEastAsia"/>
          <w:b/>
          <w:bCs/>
          <w:spacing w:val="-2"/>
          <w:position w:val="-2"/>
          <w:sz w:val="24"/>
          <w:lang w:val="en-US" w:eastAsia="zh-CN"/>
        </w:rPr>
        <w:t xml:space="preserve"> </w:t>
      </w:r>
      <w:r>
        <w:rPr>
          <w:rFonts w:hint="eastAsia" w:cs="Arial" w:asciiTheme="minorEastAsia" w:hAnsiTheme="minorEastAsia" w:eastAsiaTheme="minorEastAsia"/>
          <w:b/>
          <w:bCs/>
          <w:spacing w:val="-2"/>
          <w:position w:val="-2"/>
          <w:sz w:val="24"/>
        </w:rPr>
        <w:t>书香校园建设</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校训：凡人做一事；</w:t>
      </w:r>
    </w:p>
    <w:p>
      <w:pPr>
        <w:widowControl/>
        <w:shd w:val="clear" w:color="auto" w:fill="FFFFFF"/>
        <w:spacing w:line="440" w:lineRule="exact"/>
        <w:ind w:firstLine="472" w:firstLineChars="200"/>
        <w:rPr>
          <w:rFonts w:cs="Arial" w:asciiTheme="minorEastAsia" w:hAnsiTheme="minorEastAsia" w:eastAsiaTheme="minorEastAsia"/>
          <w:bCs/>
          <w:spacing w:val="-2"/>
          <w:position w:val="-2"/>
          <w:sz w:val="24"/>
        </w:rPr>
      </w:pPr>
      <w:r>
        <w:rPr>
          <w:rFonts w:hint="eastAsia" w:cs="Arial" w:asciiTheme="minorEastAsia" w:hAnsiTheme="minorEastAsia" w:eastAsiaTheme="minorEastAsia"/>
          <w:spacing w:val="-2"/>
          <w:position w:val="-2"/>
          <w:sz w:val="24"/>
        </w:rPr>
        <w:t>校风：</w:t>
      </w:r>
      <w:r>
        <w:rPr>
          <w:rFonts w:hint="eastAsia" w:cs="Arial" w:asciiTheme="minorEastAsia" w:hAnsiTheme="minorEastAsia" w:eastAsiaTheme="minorEastAsia"/>
          <w:bCs/>
          <w:spacing w:val="-2"/>
          <w:position w:val="-2"/>
          <w:sz w:val="24"/>
        </w:rPr>
        <w:t>善始善终</w:t>
      </w:r>
      <w:r>
        <w:rPr>
          <w:rFonts w:hint="eastAsia" w:cs="Arial" w:asciiTheme="minorEastAsia" w:hAnsiTheme="minorEastAsia" w:eastAsiaTheme="minorEastAsia"/>
          <w:bCs/>
          <w:spacing w:val="-2"/>
          <w:position w:val="-2"/>
          <w:sz w:val="24"/>
          <w:lang w:eastAsia="zh-CN"/>
        </w:rPr>
        <w:t>，</w:t>
      </w:r>
      <w:r>
        <w:rPr>
          <w:rFonts w:hint="eastAsia" w:cs="Arial" w:asciiTheme="minorEastAsia" w:hAnsiTheme="minorEastAsia" w:eastAsiaTheme="minorEastAsia"/>
          <w:bCs/>
          <w:spacing w:val="-2"/>
          <w:position w:val="-2"/>
          <w:sz w:val="24"/>
        </w:rPr>
        <w:t>善做善成；</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校歌：职业生涯从一职开篇；</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学风：勤学苦练，知行合一；</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教风：爱生如子</w:t>
      </w:r>
      <w:r>
        <w:rPr>
          <w:rFonts w:cs="Arial" w:asciiTheme="minorEastAsia" w:hAnsiTheme="minorEastAsia" w:eastAsiaTheme="minorEastAsia"/>
          <w:spacing w:val="-2"/>
          <w:position w:val="-2"/>
          <w:sz w:val="24"/>
        </w:rPr>
        <w:t xml:space="preserve"> </w:t>
      </w:r>
      <w:r>
        <w:rPr>
          <w:rFonts w:hint="eastAsia" w:cs="Arial" w:asciiTheme="minorEastAsia" w:hAnsiTheme="minorEastAsia" w:eastAsiaTheme="minorEastAsia"/>
          <w:spacing w:val="-2"/>
          <w:position w:val="-2"/>
          <w:sz w:val="24"/>
        </w:rPr>
        <w:t>诲人不倦。</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通过丰富多彩的活动唱响校歌、践行校风、校训，让赤峰一职的核心校园文化独特而鲜明。学校将书香校园建设纳入学校长期发展规划，成立了以党委书记、校长为组长的书香校园建设领导小组，层层成立书香校园建设推动小组和不同层面的读书成长班。全方位进行书香环境建设，图书馆、专业、办公室、班级设立读书角，供师生借阅和读书。领导班子成员、语文教师、专业主任、学科教师、学生代表分别进行读书分享，倡导全校师生多读好书。通过举办读书沙龙、朗诵者活动、师生朗读、背诵《大学·劝学》、小手拉大手共读一本书等活动，营造文化育人环境、培养终身学习能力，充分挖掘各方面的文化引领力量，丰富读书内容，灵活读书形式，以文育人，以文化人，增加师生文化自信。</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w:t>
      </w:r>
      <w:r>
        <w:rPr>
          <w:rFonts w:hint="eastAsia" w:cs="Arial" w:asciiTheme="minorEastAsia" w:hAnsiTheme="minorEastAsia" w:eastAsiaTheme="minorEastAsia"/>
          <w:b/>
          <w:bCs/>
          <w:spacing w:val="-2"/>
          <w:position w:val="-2"/>
          <w:sz w:val="24"/>
          <w:lang w:val="en-US" w:eastAsia="zh-CN"/>
        </w:rPr>
        <w:t>6</w:t>
      </w:r>
      <w:r>
        <w:rPr>
          <w:rFonts w:cs="Arial" w:asciiTheme="minorEastAsia" w:hAnsiTheme="minorEastAsia" w:eastAsiaTheme="minorEastAsia"/>
          <w:b/>
          <w:bCs/>
          <w:spacing w:val="-2"/>
          <w:position w:val="-2"/>
          <w:sz w:val="24"/>
        </w:rPr>
        <w:t>.</w:t>
      </w:r>
      <w:r>
        <w:rPr>
          <w:rFonts w:hint="eastAsia" w:cs="Arial" w:asciiTheme="minorEastAsia" w:hAnsiTheme="minorEastAsia" w:eastAsiaTheme="minorEastAsia"/>
          <w:b/>
          <w:bCs/>
          <w:spacing w:val="-2"/>
          <w:position w:val="-2"/>
          <w:sz w:val="24"/>
          <w:lang w:val="en-US" w:eastAsia="zh-CN"/>
        </w:rPr>
        <w:t xml:space="preserve">10 </w:t>
      </w:r>
      <w:r>
        <w:rPr>
          <w:rFonts w:hint="eastAsia" w:cs="Arial" w:asciiTheme="minorEastAsia" w:hAnsiTheme="minorEastAsia" w:eastAsiaTheme="minorEastAsia"/>
          <w:b/>
          <w:bCs/>
          <w:spacing w:val="-2"/>
          <w:position w:val="-2"/>
          <w:sz w:val="24"/>
        </w:rPr>
        <w:t>严格执行学生学籍制度。</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认真完成了201</w:t>
      </w:r>
      <w:r>
        <w:rPr>
          <w:rFonts w:hint="eastAsia" w:cs="Arial" w:asciiTheme="minorEastAsia" w:hAnsiTheme="minorEastAsia" w:eastAsiaTheme="minorEastAsia"/>
          <w:spacing w:val="-2"/>
          <w:position w:val="-2"/>
          <w:sz w:val="24"/>
          <w:lang w:val="en-US" w:eastAsia="zh-CN"/>
        </w:rPr>
        <w:t>8</w:t>
      </w:r>
      <w:r>
        <w:rPr>
          <w:rFonts w:hint="eastAsia" w:cs="Arial" w:asciiTheme="minorEastAsia" w:hAnsiTheme="minorEastAsia" w:eastAsiaTheme="minorEastAsia"/>
          <w:spacing w:val="-2"/>
          <w:position w:val="-2"/>
          <w:sz w:val="24"/>
        </w:rPr>
        <w:t>级</w:t>
      </w:r>
      <w:r>
        <w:rPr>
          <w:rFonts w:hint="eastAsia" w:cs="Arial" w:asciiTheme="minorEastAsia" w:hAnsiTheme="minorEastAsia" w:eastAsiaTheme="minorEastAsia"/>
          <w:spacing w:val="-2"/>
          <w:position w:val="-2"/>
          <w:sz w:val="24"/>
          <w:lang w:val="en-US" w:eastAsia="zh-CN"/>
        </w:rPr>
        <w:t>51</w:t>
      </w:r>
      <w:r>
        <w:rPr>
          <w:rFonts w:hint="eastAsia" w:cs="Arial" w:asciiTheme="minorEastAsia" w:hAnsiTheme="minorEastAsia" w:eastAsiaTheme="minorEastAsia"/>
          <w:spacing w:val="-2"/>
          <w:position w:val="-2"/>
          <w:sz w:val="24"/>
        </w:rPr>
        <w:t>7名毕业生毕业文凭的登记、审核、验印和发放工作。认真完成了20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级</w:t>
      </w:r>
      <w:r>
        <w:rPr>
          <w:rFonts w:hint="eastAsia" w:cs="Arial" w:asciiTheme="minorEastAsia" w:hAnsiTheme="minorEastAsia" w:eastAsiaTheme="minorEastAsia"/>
          <w:spacing w:val="-2"/>
          <w:position w:val="-2"/>
          <w:sz w:val="24"/>
          <w:lang w:val="en-US" w:eastAsia="zh-CN"/>
        </w:rPr>
        <w:t>796</w:t>
      </w:r>
      <w:r>
        <w:rPr>
          <w:rFonts w:hint="eastAsia" w:cs="Arial" w:asciiTheme="minorEastAsia" w:hAnsiTheme="minorEastAsia" w:eastAsiaTheme="minorEastAsia"/>
          <w:spacing w:val="-2"/>
          <w:position w:val="-2"/>
          <w:sz w:val="24"/>
        </w:rPr>
        <w:t>人学籍注册和申报工作。认真完成了20</w:t>
      </w:r>
      <w:r>
        <w:rPr>
          <w:rFonts w:hint="eastAsia" w:cs="Arial" w:asciiTheme="minorEastAsia" w:hAnsiTheme="minorEastAsia" w:eastAsiaTheme="minorEastAsia"/>
          <w:spacing w:val="-2"/>
          <w:position w:val="-2"/>
          <w:sz w:val="24"/>
          <w:lang w:val="en-US" w:eastAsia="zh-CN"/>
        </w:rPr>
        <w:t>21</w:t>
      </w:r>
      <w:r>
        <w:rPr>
          <w:rFonts w:hint="eastAsia" w:cs="Arial" w:asciiTheme="minorEastAsia" w:hAnsiTheme="minorEastAsia" w:eastAsiaTheme="minorEastAsia"/>
          <w:spacing w:val="-2"/>
          <w:position w:val="-2"/>
          <w:sz w:val="24"/>
        </w:rPr>
        <w:t>年每学期2000余人在校学生的学籍、助学金、免学费、学生保险申报工作。</w:t>
      </w:r>
    </w:p>
    <w:p>
      <w:pPr>
        <w:widowControl/>
        <w:shd w:val="clear" w:color="auto" w:fill="FFFFFF"/>
        <w:spacing w:line="440" w:lineRule="exact"/>
        <w:ind w:firstLine="474" w:firstLineChars="200"/>
        <w:rPr>
          <w:rFonts w:hint="eastAsia" w:cs="Arial" w:asciiTheme="minorEastAsia" w:hAnsiTheme="minorEastAsia" w:eastAsiaTheme="minorEastAsia"/>
          <w:b/>
          <w:bCs/>
          <w:spacing w:val="-2"/>
          <w:position w:val="-2"/>
          <w:sz w:val="24"/>
          <w:lang w:eastAsia="zh-CN"/>
        </w:rPr>
      </w:pPr>
      <w:r>
        <w:rPr>
          <w:rFonts w:hint="eastAsia" w:cs="Arial" w:asciiTheme="minorEastAsia" w:hAnsiTheme="minorEastAsia" w:eastAsiaTheme="minorEastAsia"/>
          <w:b/>
          <w:bCs/>
          <w:spacing w:val="-2"/>
          <w:position w:val="-2"/>
          <w:sz w:val="24"/>
        </w:rPr>
        <w:t>3.</w:t>
      </w:r>
      <w:r>
        <w:rPr>
          <w:rFonts w:hint="eastAsia" w:cs="Arial" w:asciiTheme="minorEastAsia" w:hAnsiTheme="minorEastAsia" w:eastAsiaTheme="minorEastAsia"/>
          <w:b/>
          <w:bCs/>
          <w:spacing w:val="-2"/>
          <w:position w:val="-2"/>
          <w:sz w:val="24"/>
          <w:lang w:val="en-US" w:eastAsia="zh-CN"/>
        </w:rPr>
        <w:t>7</w:t>
      </w:r>
      <w:r>
        <w:rPr>
          <w:rFonts w:hint="eastAsia" w:cs="Arial" w:asciiTheme="minorEastAsia" w:hAnsiTheme="minorEastAsia" w:eastAsiaTheme="minorEastAsia"/>
          <w:b/>
          <w:bCs/>
          <w:spacing w:val="-2"/>
          <w:position w:val="-2"/>
          <w:sz w:val="24"/>
        </w:rPr>
        <w:t>党建</w:t>
      </w:r>
      <w:r>
        <w:rPr>
          <w:rFonts w:hint="eastAsia" w:cs="Arial" w:asciiTheme="minorEastAsia" w:hAnsiTheme="minorEastAsia" w:eastAsiaTheme="minorEastAsia"/>
          <w:b/>
          <w:bCs/>
          <w:spacing w:val="-2"/>
          <w:position w:val="-2"/>
          <w:sz w:val="24"/>
          <w:lang w:eastAsia="zh-CN"/>
        </w:rPr>
        <w:t>情况</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切实加强党的政治建设，健全党建工作管理体制</w:t>
      </w:r>
      <w:r>
        <w:rPr>
          <w:rFonts w:hint="eastAsia" w:cs="Arial" w:asciiTheme="minorEastAsia" w:hAnsiTheme="minorEastAsia" w:eastAsiaTheme="minorEastAsia"/>
          <w:spacing w:val="-2"/>
          <w:position w:val="-2"/>
          <w:sz w:val="24"/>
          <w:lang w:eastAsia="zh-CN"/>
        </w:rPr>
        <w:t>。依托教学、教辅部门，按照学科领域建立了5个专业党支部，实现了“支部建在专业上”。同时，各党支部以企业需求、就业趋势为导向，以产教融合、提质培优为目标，制定了具有专业特色的工作计划，形成了以党建工作促进教学升级的生动局面。学校党委</w:t>
      </w:r>
      <w:r>
        <w:rPr>
          <w:rFonts w:hint="eastAsia" w:cs="Arial" w:asciiTheme="minorEastAsia" w:hAnsiTheme="minorEastAsia" w:eastAsiaTheme="minorEastAsia"/>
          <w:spacing w:val="-2"/>
          <w:position w:val="-2"/>
          <w:sz w:val="24"/>
        </w:rPr>
        <w:t>继续完善制度建设，强化党风廉政建设主体责任，认真落实“一岗双责”。进一步明确领导班子的廉政责任，切实落实好“两个责任”。在强化沟通机制上，坚持“专业共建、人才共育、风险共担、发展共赢”的思路，学校先后与上海东湖集团等多家大型企业建立紧密的合作关系，签订了“党建融合校企合作协议”，进一步加强人员培训、技术支持、就业创业等方面的优势互补，实现互利共赢。加强党对意识形态工作的统一领导，推动德育和思想政治工作。以立德树人为根本任务，扎实推进三全育人工作。深入开展党史学习教育，推动习近平新时代中国特色社会主义思想进课堂进教材进头脑。开展铸牢中华民族共同体意识教育，营造轻松和谐的校园文化氛围。加强学校党组织建设，提升党组织规范化标准化。持续深化“不忘初心、牢记使命”主题教育成果。严格落实组织生活制度，开展好“三会一课”、主题党日活动，开展庆祝建党100周年系列活动，评选出了21名优秀共产党员。切实加强党的政治建设，发挥党组织的政治核心作用。深入学习党的十九大、十九届二中、三中、四中、五中全会精神和习近平新时代中国特色社会主义思想，加强党建融合，坚持党建工作与教育、教学、教研、管理等工作同部署、同落实、同考核，增强四个意识，树立四个自信，做到两个维护。</w:t>
      </w:r>
    </w:p>
    <w:p>
      <w:pPr>
        <w:widowControl/>
        <w:shd w:val="clear" w:color="auto" w:fill="FFFFFF"/>
        <w:spacing w:line="440" w:lineRule="exact"/>
        <w:jc w:val="center"/>
        <w:rPr>
          <w:rFonts w:hint="eastAsia" w:ascii="黑体" w:hAnsi="黑体" w:eastAsia="黑体"/>
          <w:spacing w:val="-2"/>
          <w:kern w:val="0"/>
          <w:position w:val="-2"/>
          <w:sz w:val="30"/>
          <w:szCs w:val="30"/>
        </w:rPr>
      </w:pPr>
    </w:p>
    <w:p>
      <w:pPr>
        <w:widowControl/>
        <w:shd w:val="clear" w:color="auto" w:fill="FFFFFF"/>
        <w:spacing w:line="440" w:lineRule="exact"/>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第四部分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校企合作</w:t>
      </w:r>
    </w:p>
    <w:p>
      <w:pPr>
        <w:widowControl/>
        <w:shd w:val="clear" w:color="auto" w:fill="FFFFFF"/>
        <w:spacing w:line="440" w:lineRule="exact"/>
        <w:ind w:firstLine="474" w:firstLineChars="200"/>
        <w:rPr>
          <w:rFonts w:ascii="黑体" w:hAnsi="黑体" w:eastAsia="黑体" w:cs="Arial"/>
          <w:b/>
          <w:spacing w:val="-2"/>
          <w:position w:val="-2"/>
          <w:sz w:val="24"/>
          <w:szCs w:val="24"/>
        </w:rPr>
      </w:pPr>
      <w:r>
        <w:rPr>
          <w:rFonts w:hint="eastAsia" w:ascii="黑体" w:hAnsi="黑体" w:eastAsia="黑体" w:cs="Arial"/>
          <w:b/>
          <w:spacing w:val="-2"/>
          <w:position w:val="-2"/>
          <w:sz w:val="24"/>
          <w:szCs w:val="24"/>
        </w:rPr>
        <w:t>4.1实施与效果</w:t>
      </w:r>
    </w:p>
    <w:p>
      <w:pPr>
        <w:widowControl/>
        <w:shd w:val="clear" w:color="auto" w:fill="FFFFFF"/>
        <w:spacing w:line="360" w:lineRule="auto"/>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w:t>
      </w:r>
      <w:r>
        <w:rPr>
          <w:rFonts w:hint="eastAsia" w:cs="Arial" w:asciiTheme="minorEastAsia" w:hAnsiTheme="minorEastAsia" w:eastAsiaTheme="minorEastAsia"/>
          <w:bCs/>
          <w:spacing w:val="-2"/>
          <w:position w:val="-2"/>
          <w:sz w:val="24"/>
        </w:rPr>
        <w:t>用党建工作引领产教融合、校企合作，推动学校和行业企业形成命运共同体，</w:t>
      </w:r>
      <w:r>
        <w:rPr>
          <w:rFonts w:hint="eastAsia" w:cs="Arial" w:asciiTheme="minorEastAsia" w:hAnsiTheme="minorEastAsia" w:eastAsiaTheme="minorEastAsia"/>
          <w:spacing w:val="-2"/>
          <w:position w:val="-2"/>
          <w:sz w:val="24"/>
        </w:rPr>
        <w:t>实现校企合作制度化。</w:t>
      </w:r>
      <w:r>
        <w:rPr>
          <w:rFonts w:hint="eastAsia" w:cs="Arial" w:asciiTheme="minorEastAsia" w:hAnsiTheme="minorEastAsia" w:eastAsiaTheme="minorEastAsia"/>
          <w:spacing w:val="-2"/>
          <w:position w:val="-2"/>
          <w:sz w:val="24"/>
          <w:lang w:eastAsia="zh-CN"/>
        </w:rPr>
        <w:t>赤峰一职附属幼儿园招生</w:t>
      </w:r>
      <w:r>
        <w:rPr>
          <w:rFonts w:hint="eastAsia" w:cs="Arial" w:asciiTheme="minorEastAsia" w:hAnsiTheme="minorEastAsia" w:eastAsiaTheme="minorEastAsia"/>
          <w:spacing w:val="-2"/>
          <w:position w:val="-2"/>
          <w:sz w:val="24"/>
          <w:lang w:val="en-US" w:eastAsia="zh-CN"/>
        </w:rPr>
        <w:t>83人，在园幼儿232人；与海尔集团智能家居科技有限公司合作，建成了物联网技术智能家居实习实训室四个，基本满足专业教学技能大赛训练和开展职业技能培训的需要；引进赤峰老字号——“内蒙古草原宴宾楼餐饮公司”进校合作经营实习宾馆，已经完成装修改造。年底正式对外营业。</w:t>
      </w:r>
      <w:r>
        <w:rPr>
          <w:rFonts w:hint="eastAsia" w:cs="Arial" w:asciiTheme="minorEastAsia" w:hAnsiTheme="minorEastAsia" w:eastAsiaTheme="minorEastAsia"/>
          <w:spacing w:val="-2"/>
          <w:position w:val="-2"/>
          <w:sz w:val="24"/>
        </w:rPr>
        <w:t>校企融合，</w:t>
      </w:r>
      <w:r>
        <w:rPr>
          <w:rFonts w:hint="eastAsia" w:cs="Arial" w:asciiTheme="minorEastAsia" w:hAnsiTheme="minorEastAsia" w:eastAsiaTheme="minorEastAsia"/>
          <w:spacing w:val="-2"/>
          <w:position w:val="-2"/>
          <w:sz w:val="24"/>
          <w:lang w:eastAsia="zh-CN"/>
        </w:rPr>
        <w:t>搭建</w:t>
      </w:r>
      <w:r>
        <w:rPr>
          <w:rFonts w:hint="eastAsia" w:cs="Arial" w:asciiTheme="minorEastAsia" w:hAnsiTheme="minorEastAsia" w:eastAsiaTheme="minorEastAsia"/>
          <w:spacing w:val="-2"/>
          <w:position w:val="-2"/>
          <w:sz w:val="24"/>
        </w:rPr>
        <w:t>平台，形成机制</w:t>
      </w:r>
      <w:r>
        <w:rPr>
          <w:rFonts w:hint="eastAsia" w:cs="Arial" w:asciiTheme="minorEastAsia" w:hAnsiTheme="minorEastAsia" w:eastAsiaTheme="minorEastAsia"/>
          <w:spacing w:val="-2"/>
          <w:position w:val="-2"/>
          <w:sz w:val="24"/>
          <w:lang w:eastAsia="zh-CN"/>
        </w:rPr>
        <w:t>，校企合作协同育人将见成效</w:t>
      </w:r>
      <w:r>
        <w:rPr>
          <w:rFonts w:hint="eastAsia" w:cs="Arial" w:asciiTheme="minorEastAsia" w:hAnsiTheme="minorEastAsia" w:eastAsiaTheme="minorEastAsia"/>
          <w:spacing w:val="-2"/>
          <w:position w:val="-2"/>
          <w:sz w:val="24"/>
        </w:rPr>
        <w:t>。企业参与专业建设市场调研，参与课程设置、教学计划、教学模式等方面的改革研究，提供体验式、顶岗式实习岗位，在政府指导协调安置学生就业。目前，学校现有校内</w:t>
      </w:r>
      <w:r>
        <w:rPr>
          <w:rFonts w:hint="eastAsia" w:cs="Arial" w:asciiTheme="minorEastAsia" w:hAnsiTheme="minorEastAsia" w:eastAsiaTheme="minorEastAsia"/>
          <w:spacing w:val="-2"/>
          <w:position w:val="-2"/>
          <w:sz w:val="24"/>
          <w:lang w:eastAsia="zh-CN"/>
        </w:rPr>
        <w:t>“教学</w:t>
      </w:r>
      <w:r>
        <w:rPr>
          <w:rFonts w:hint="eastAsia" w:cs="Arial" w:asciiTheme="minorEastAsia" w:hAnsiTheme="minorEastAsia" w:eastAsiaTheme="minorEastAsia"/>
          <w:spacing w:val="-2"/>
          <w:position w:val="-2"/>
          <w:sz w:val="24"/>
        </w:rPr>
        <w:t>工厂</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2</w:t>
      </w:r>
      <w:r>
        <w:rPr>
          <w:rFonts w:hint="eastAsia" w:cs="Arial" w:asciiTheme="minorEastAsia" w:hAnsiTheme="minorEastAsia" w:eastAsiaTheme="minorEastAsia"/>
          <w:spacing w:val="-2"/>
          <w:position w:val="-2"/>
          <w:sz w:val="24"/>
        </w:rPr>
        <w:t>个，已建立校外实训地</w:t>
      </w:r>
      <w:r>
        <w:rPr>
          <w:rFonts w:cs="Arial" w:asciiTheme="minorEastAsia" w:hAnsiTheme="minorEastAsia" w:eastAsiaTheme="minorEastAsia"/>
          <w:spacing w:val="-2"/>
          <w:position w:val="-2"/>
          <w:sz w:val="24"/>
        </w:rPr>
        <w:t>6</w:t>
      </w:r>
      <w:r>
        <w:rPr>
          <w:rFonts w:hint="eastAsia" w:cs="Arial" w:asciiTheme="minorEastAsia" w:hAnsiTheme="minorEastAsia" w:eastAsiaTheme="minorEastAsia"/>
          <w:spacing w:val="-2"/>
          <w:position w:val="-2"/>
          <w:sz w:val="24"/>
          <w:lang w:val="en-US" w:eastAsia="zh-CN"/>
        </w:rPr>
        <w:t>0</w:t>
      </w:r>
      <w:r>
        <w:rPr>
          <w:rFonts w:hint="eastAsia" w:cs="Arial" w:asciiTheme="minorEastAsia" w:hAnsiTheme="minorEastAsia" w:eastAsiaTheme="minorEastAsia"/>
          <w:spacing w:val="-2"/>
          <w:position w:val="-2"/>
          <w:sz w:val="24"/>
        </w:rPr>
        <w:t>个，年内新增</w:t>
      </w:r>
      <w:r>
        <w:rPr>
          <w:rFonts w:hint="eastAsia" w:cs="Arial" w:asciiTheme="minorEastAsia" w:hAnsiTheme="minorEastAsia" w:eastAsiaTheme="minorEastAsia"/>
          <w:spacing w:val="-2"/>
          <w:position w:val="-2"/>
          <w:sz w:val="24"/>
          <w:lang w:val="en-US" w:eastAsia="zh-CN"/>
        </w:rPr>
        <w:t>3</w:t>
      </w:r>
      <w:r>
        <w:rPr>
          <w:rFonts w:hint="eastAsia" w:cs="Arial" w:asciiTheme="minorEastAsia" w:hAnsiTheme="minorEastAsia" w:eastAsiaTheme="minorEastAsia"/>
          <w:spacing w:val="-2"/>
          <w:position w:val="-2"/>
          <w:sz w:val="24"/>
        </w:rPr>
        <w:t>个。</w:t>
      </w:r>
    </w:p>
    <w:p>
      <w:pPr>
        <w:widowControl/>
        <w:shd w:val="clear" w:color="auto" w:fill="FFFFFF"/>
        <w:spacing w:line="440" w:lineRule="exact"/>
        <w:ind w:firstLine="474" w:firstLineChars="200"/>
        <w:rPr>
          <w:rFonts w:ascii="黑体" w:hAnsi="黑体" w:eastAsia="黑体" w:cs="Arial"/>
          <w:b/>
          <w:spacing w:val="-2"/>
          <w:position w:val="-2"/>
          <w:sz w:val="24"/>
          <w:szCs w:val="24"/>
        </w:rPr>
      </w:pPr>
      <w:r>
        <w:rPr>
          <w:rFonts w:hint="eastAsia" w:ascii="黑体" w:hAnsi="黑体" w:eastAsia="黑体" w:cs="Arial"/>
          <w:b/>
          <w:spacing w:val="-2"/>
          <w:position w:val="-2"/>
          <w:sz w:val="24"/>
          <w:szCs w:val="24"/>
        </w:rPr>
        <w:t>4.2学生实习</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几年学校广泛建立校外实训基地，加强了与企业之间的合作，为学生实训实习学习提供了良好的平台。在学生实习工作中，学校根据上级要求，严格执行《职业学校学生实习管理规定》，详细制定学生顶岗实习计划，签订顶岗实习三方协议书，选择合法经营、管理规范、实习设备完备、符合安全生产法律法规的实习单位安排学生实习，并选派优秀指导老师跟踪指导。</w:t>
      </w:r>
      <w:r>
        <w:rPr>
          <w:rFonts w:hint="eastAsia" w:cs="Arial" w:asciiTheme="minorEastAsia" w:hAnsiTheme="minorEastAsia" w:eastAsiaTheme="minorEastAsia"/>
          <w:spacing w:val="-2"/>
          <w:position w:val="-2"/>
          <w:sz w:val="24"/>
          <w:lang w:eastAsia="zh-CN"/>
        </w:rPr>
        <w:t>本年度共有各年级学生</w:t>
      </w:r>
      <w:r>
        <w:rPr>
          <w:rFonts w:hint="eastAsia" w:cs="Arial" w:asciiTheme="minorEastAsia" w:hAnsiTheme="minorEastAsia" w:eastAsiaTheme="minorEastAsia"/>
          <w:spacing w:val="-2"/>
          <w:position w:val="-2"/>
          <w:sz w:val="24"/>
          <w:lang w:val="en-US" w:eastAsia="zh-CN"/>
        </w:rPr>
        <w:t>287人次进行了认识、跟岗、顶岗实习，总计实习时间330天，</w:t>
      </w:r>
      <w:r>
        <w:rPr>
          <w:rFonts w:hint="eastAsia" w:cs="Arial" w:asciiTheme="minorEastAsia" w:hAnsiTheme="minorEastAsia" w:eastAsiaTheme="minorEastAsia"/>
          <w:spacing w:val="-2"/>
          <w:position w:val="-2"/>
          <w:sz w:val="24"/>
        </w:rPr>
        <w:t>学生在本地实习率达到</w:t>
      </w:r>
      <w:r>
        <w:rPr>
          <w:rFonts w:cs="Arial" w:asciiTheme="minorEastAsia" w:hAnsiTheme="minorEastAsia" w:eastAsiaTheme="minorEastAsia"/>
          <w:spacing w:val="-2"/>
          <w:position w:val="-2"/>
          <w:sz w:val="24"/>
        </w:rPr>
        <w:t>95</w:t>
      </w:r>
      <w:r>
        <w:rPr>
          <w:rFonts w:hint="eastAsia"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高星级饭店运营</w:t>
      </w:r>
      <w:r>
        <w:rPr>
          <w:rFonts w:hint="eastAsia" w:cs="Arial" w:asciiTheme="minorEastAsia" w:hAnsiTheme="minorEastAsia" w:eastAsiaTheme="minorEastAsia"/>
          <w:spacing w:val="-2"/>
          <w:position w:val="-2"/>
          <w:sz w:val="24"/>
        </w:rPr>
        <w:t>与管理专业贾歆然、张栋博</w:t>
      </w:r>
      <w:r>
        <w:rPr>
          <w:rFonts w:hint="eastAsia" w:cs="Arial" w:asciiTheme="minorEastAsia" w:hAnsiTheme="minorEastAsia" w:eastAsiaTheme="minorEastAsia"/>
          <w:spacing w:val="-2"/>
          <w:position w:val="-2"/>
          <w:sz w:val="24"/>
          <w:lang w:eastAsia="zh-CN"/>
        </w:rPr>
        <w:t>同学在上海东湖集团西郊宾馆实习期间</w:t>
      </w:r>
      <w:r>
        <w:rPr>
          <w:rFonts w:hint="eastAsia" w:cs="Arial" w:asciiTheme="minorEastAsia" w:hAnsiTheme="minorEastAsia" w:eastAsiaTheme="minorEastAsia"/>
          <w:spacing w:val="-2"/>
          <w:position w:val="-2"/>
          <w:sz w:val="24"/>
        </w:rPr>
        <w:t>，成功入选成为“上海东湖集团国事礼仪团队”后备队员。企业对学生顶岗实习考核</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三年级学生参与企业顶岗合格率达到98%。</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三年级学生实习情况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实习企业数</w:t>
            </w:r>
          </w:p>
        </w:tc>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实习人数</w:t>
            </w:r>
            <w:r>
              <w:rPr>
                <w:rFonts w:hint="eastAsia" w:cs="Arial" w:asciiTheme="minorEastAsia" w:hAnsiTheme="minorEastAsia" w:eastAsiaTheme="minorEastAsia"/>
                <w:spacing w:val="-2"/>
                <w:position w:val="-2"/>
                <w:sz w:val="18"/>
                <w:szCs w:val="18"/>
              </w:rPr>
              <w:t>（人）</w:t>
            </w:r>
          </w:p>
        </w:tc>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实习时间</w:t>
            </w:r>
            <w:r>
              <w:rPr>
                <w:rFonts w:hint="eastAsia" w:cs="Arial" w:asciiTheme="minorEastAsia" w:hAnsiTheme="minorEastAsia" w:eastAsiaTheme="minorEastAsia"/>
                <w:spacing w:val="-2"/>
                <w:position w:val="-2"/>
                <w:sz w:val="18"/>
                <w:szCs w:val="18"/>
              </w:rPr>
              <w:t>（月）</w:t>
            </w:r>
          </w:p>
        </w:tc>
        <w:tc>
          <w:tcPr>
            <w:tcW w:w="170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lang w:eastAsia="zh-CN"/>
              </w:rPr>
              <w:t>顶岗</w:t>
            </w:r>
            <w:r>
              <w:rPr>
                <w:rFonts w:hint="eastAsia" w:cs="Arial" w:asciiTheme="minorEastAsia" w:hAnsiTheme="minorEastAsia" w:eastAsiaTheme="minorEastAsia"/>
                <w:spacing w:val="-2"/>
                <w:position w:val="-2"/>
              </w:rPr>
              <w:t>实习平均工资</w:t>
            </w:r>
            <w:r>
              <w:rPr>
                <w:rFonts w:hint="eastAsia" w:cs="Arial" w:asciiTheme="minorEastAsia" w:hAnsiTheme="minorEastAsia" w:eastAsiaTheme="minorEastAsia"/>
                <w:spacing w:val="-2"/>
                <w:position w:val="-2"/>
                <w:sz w:val="18"/>
                <w:szCs w:val="18"/>
              </w:rPr>
              <w:t>（元）</w:t>
            </w:r>
          </w:p>
        </w:tc>
        <w:tc>
          <w:tcPr>
            <w:tcW w:w="170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实购</w:t>
            </w:r>
            <w:r>
              <w:rPr>
                <w:rFonts w:hint="eastAsia" w:cs="Arial" w:asciiTheme="minorEastAsia" w:hAnsiTheme="minorEastAsia" w:eastAsiaTheme="minorEastAsia"/>
                <w:spacing w:val="-2"/>
                <w:position w:val="-2"/>
                <w:lang w:val="en-US" w:eastAsia="zh-CN"/>
              </w:rPr>
              <w:t>买</w:t>
            </w:r>
            <w:r>
              <w:rPr>
                <w:rFonts w:hint="eastAsia" w:cs="Arial" w:asciiTheme="minorEastAsia" w:hAnsiTheme="minorEastAsia" w:eastAsiaTheme="minorEastAsia"/>
                <w:spacing w:val="-2"/>
                <w:position w:val="-2"/>
                <w:lang w:eastAsia="zh-CN"/>
              </w:rPr>
              <w:t>实习</w:t>
            </w:r>
            <w:r>
              <w:rPr>
                <w:rFonts w:hint="eastAsia" w:cs="Arial" w:asciiTheme="minorEastAsia" w:hAnsiTheme="minorEastAsia" w:eastAsiaTheme="minorEastAsia"/>
                <w:spacing w:val="-2"/>
                <w:position w:val="-2"/>
              </w:rPr>
              <w:t>保险人数占比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Pr>
          <w:p>
            <w:pPr>
              <w:widowControl/>
              <w:jc w:val="center"/>
              <w:rPr>
                <w:rFonts w:cs="Arial" w:asciiTheme="minorEastAsia" w:hAnsiTheme="minorEastAsia" w:eastAsiaTheme="minorEastAsia"/>
                <w:spacing w:val="-2"/>
                <w:position w:val="-2"/>
              </w:rPr>
            </w:pPr>
            <w:r>
              <w:rPr>
                <w:rFonts w:ascii="仿宋" w:hAnsi="仿宋" w:eastAsia="仿宋" w:cs="Arial"/>
                <w:spacing w:val="-2"/>
                <w:position w:val="-2"/>
                <w:sz w:val="24"/>
              </w:rPr>
              <w:t>5</w:t>
            </w:r>
          </w:p>
        </w:tc>
        <w:tc>
          <w:tcPr>
            <w:tcW w:w="1704" w:type="dxa"/>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287</w:t>
            </w:r>
          </w:p>
        </w:tc>
        <w:tc>
          <w:tcPr>
            <w:tcW w:w="1704" w:type="dxa"/>
          </w:tcPr>
          <w:p>
            <w:pPr>
              <w:widowControl/>
              <w:jc w:val="center"/>
              <w:rPr>
                <w:rFonts w:cs="Arial" w:asciiTheme="minorEastAsia" w:hAnsiTheme="minorEastAsia" w:eastAsiaTheme="minorEastAsia"/>
                <w:spacing w:val="-2"/>
                <w:position w:val="-2"/>
              </w:rPr>
            </w:pPr>
            <w:r>
              <w:rPr>
                <w:rFonts w:hint="eastAsia" w:ascii="仿宋" w:hAnsi="仿宋" w:eastAsia="仿宋" w:cs="Arial"/>
                <w:spacing w:val="-2"/>
                <w:position w:val="-2"/>
                <w:sz w:val="24"/>
                <w:lang w:val="en-US" w:eastAsia="zh-CN"/>
              </w:rPr>
              <w:t>6—</w:t>
            </w:r>
            <w:r>
              <w:rPr>
                <w:rFonts w:ascii="仿宋" w:hAnsi="仿宋" w:eastAsia="仿宋" w:cs="Arial"/>
                <w:spacing w:val="-2"/>
                <w:position w:val="-2"/>
                <w:sz w:val="24"/>
              </w:rPr>
              <w:t>12</w:t>
            </w:r>
          </w:p>
        </w:tc>
        <w:tc>
          <w:tcPr>
            <w:tcW w:w="1705" w:type="dxa"/>
          </w:tcPr>
          <w:p>
            <w:pPr>
              <w:widowControl/>
              <w:jc w:val="center"/>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1850</w:t>
            </w:r>
          </w:p>
        </w:tc>
        <w:tc>
          <w:tcPr>
            <w:tcW w:w="1705" w:type="dxa"/>
          </w:tcPr>
          <w:p>
            <w:pPr>
              <w:widowControl/>
              <w:jc w:val="center"/>
              <w:rPr>
                <w:rFonts w:cs="Arial" w:asciiTheme="minorEastAsia" w:hAnsiTheme="minorEastAsia" w:eastAsiaTheme="minorEastAsia"/>
                <w:spacing w:val="-2"/>
                <w:position w:val="-2"/>
              </w:rPr>
            </w:pPr>
            <w:r>
              <w:rPr>
                <w:rFonts w:ascii="仿宋" w:hAnsi="仿宋" w:eastAsia="仿宋" w:cs="Arial"/>
                <w:spacing w:val="-2"/>
                <w:position w:val="-2"/>
                <w:sz w:val="24"/>
              </w:rPr>
              <w:t>100%</w:t>
            </w:r>
          </w:p>
        </w:tc>
      </w:tr>
    </w:tbl>
    <w:p>
      <w:pPr>
        <w:widowControl/>
        <w:shd w:val="clear" w:color="auto" w:fill="FFFFFF"/>
        <w:spacing w:line="440" w:lineRule="exact"/>
        <w:ind w:firstLine="472" w:firstLineChars="200"/>
        <w:rPr>
          <w:rFonts w:hint="eastAsia" w:ascii="黑体" w:hAnsi="黑体" w:eastAsia="黑体" w:cs="Arial"/>
          <w:spacing w:val="-2"/>
          <w:position w:val="-2"/>
          <w:sz w:val="24"/>
          <w:szCs w:val="24"/>
        </w:rPr>
      </w:pPr>
    </w:p>
    <w:p>
      <w:pPr>
        <w:widowControl/>
        <w:shd w:val="clear" w:color="auto" w:fill="FFFFFF"/>
        <w:spacing w:line="440" w:lineRule="exact"/>
        <w:ind w:firstLine="472" w:firstLineChars="200"/>
        <w:rPr>
          <w:rFonts w:ascii="黑体" w:hAnsi="黑体" w:eastAsia="黑体" w:cs="Arial"/>
          <w:spacing w:val="-2"/>
          <w:position w:val="-2"/>
          <w:sz w:val="24"/>
          <w:szCs w:val="24"/>
        </w:rPr>
      </w:pPr>
      <w:r>
        <w:rPr>
          <w:rFonts w:hint="eastAsia" w:ascii="黑体" w:hAnsi="黑体" w:eastAsia="黑体" w:cs="Arial"/>
          <w:spacing w:val="-2"/>
          <w:position w:val="-2"/>
          <w:sz w:val="24"/>
          <w:szCs w:val="24"/>
        </w:rPr>
        <w:t>4.3集团化办学</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0</w:t>
      </w:r>
      <w:r>
        <w:rPr>
          <w:rFonts w:hint="eastAsia" w:cs="Arial" w:asciiTheme="minorEastAsia" w:hAnsiTheme="minorEastAsia" w:eastAsiaTheme="minorEastAsia"/>
          <w:spacing w:val="-2"/>
          <w:position w:val="-2"/>
          <w:sz w:val="24"/>
          <w:lang w:val="en-US" w:eastAsia="zh-CN"/>
        </w:rPr>
        <w:t>21</w:t>
      </w:r>
      <w:r>
        <w:rPr>
          <w:rFonts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lang w:val="en-US" w:eastAsia="zh-CN"/>
        </w:rPr>
        <w:t>6</w:t>
      </w:r>
      <w:r>
        <w:rPr>
          <w:rFonts w:cs="Arial" w:asciiTheme="minorEastAsia" w:hAnsiTheme="minorEastAsia" w:eastAsiaTheme="minorEastAsia"/>
          <w:spacing w:val="-2"/>
          <w:position w:val="-2"/>
          <w:sz w:val="24"/>
        </w:rPr>
        <w:t>月，赤峰第一职业中专</w:t>
      </w:r>
      <w:r>
        <w:rPr>
          <w:rFonts w:hint="eastAsia" w:cs="Arial" w:asciiTheme="minorEastAsia" w:hAnsiTheme="minorEastAsia" w:eastAsiaTheme="minorEastAsia"/>
          <w:spacing w:val="-2"/>
          <w:position w:val="-2"/>
          <w:sz w:val="24"/>
          <w:lang w:eastAsia="zh-CN"/>
        </w:rPr>
        <w:t>加入了</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内蒙古交通</w:t>
      </w:r>
      <w:r>
        <w:rPr>
          <w:rFonts w:hint="eastAsia" w:cs="Arial" w:asciiTheme="minorEastAsia" w:hAnsiTheme="minorEastAsia" w:eastAsiaTheme="minorEastAsia"/>
          <w:spacing w:val="-2"/>
          <w:position w:val="-2"/>
          <w:sz w:val="24"/>
        </w:rPr>
        <w:t>职</w:t>
      </w:r>
      <w:r>
        <w:rPr>
          <w:rFonts w:hint="eastAsia" w:cs="Arial" w:asciiTheme="minorEastAsia" w:hAnsiTheme="minorEastAsia" w:eastAsiaTheme="minorEastAsia"/>
          <w:spacing w:val="-2"/>
          <w:position w:val="-2"/>
          <w:sz w:val="24"/>
          <w:lang w:eastAsia="zh-CN"/>
        </w:rPr>
        <w:t>业教育联盟</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lang w:eastAsia="zh-CN"/>
        </w:rPr>
        <w:t>并成为副会长单位。</w:t>
      </w:r>
      <w:r>
        <w:rPr>
          <w:rFonts w:cs="Arial" w:asciiTheme="minorEastAsia" w:hAnsiTheme="minorEastAsia" w:eastAsiaTheme="minorEastAsia"/>
          <w:spacing w:val="-2"/>
          <w:position w:val="-2"/>
          <w:sz w:val="24"/>
        </w:rPr>
        <w:t>学校所开设的</w:t>
      </w:r>
      <w:r>
        <w:rPr>
          <w:rFonts w:hint="eastAsia" w:cs="Arial" w:asciiTheme="minorEastAsia" w:hAnsiTheme="minorEastAsia" w:eastAsiaTheme="minorEastAsia"/>
          <w:spacing w:val="-2"/>
          <w:position w:val="-2"/>
          <w:sz w:val="24"/>
          <w:lang w:eastAsia="zh-CN"/>
        </w:rPr>
        <w:t>高星级饭店运营</w:t>
      </w:r>
      <w:r>
        <w:rPr>
          <w:rFonts w:cs="Arial" w:asciiTheme="minorEastAsia" w:hAnsiTheme="minorEastAsia" w:eastAsiaTheme="minorEastAsia"/>
          <w:spacing w:val="-2"/>
          <w:position w:val="-2"/>
          <w:sz w:val="24"/>
        </w:rPr>
        <w:t>与管理、中餐烹饪、</w:t>
      </w:r>
      <w:r>
        <w:rPr>
          <w:rFonts w:hint="eastAsia" w:cs="Arial" w:asciiTheme="minorEastAsia" w:hAnsiTheme="minorEastAsia" w:eastAsiaTheme="minorEastAsia"/>
          <w:spacing w:val="-2"/>
          <w:position w:val="-2"/>
          <w:sz w:val="24"/>
          <w:lang w:eastAsia="zh-CN"/>
        </w:rPr>
        <w:t>幼儿保育</w:t>
      </w:r>
      <w:r>
        <w:rPr>
          <w:rFonts w:cs="Arial" w:asciiTheme="minorEastAsia" w:hAnsiTheme="minorEastAsia" w:eastAsiaTheme="minorEastAsia"/>
          <w:spacing w:val="-2"/>
          <w:position w:val="-2"/>
          <w:sz w:val="24"/>
        </w:rPr>
        <w:t>专业与集团（联盟）成员单位进行了深入密切的合作，深化了校企合作和产教融合，推进了学校自治区示范校建设进程，促进了学校快速发展。</w:t>
      </w:r>
      <w:r>
        <w:rPr>
          <w:rFonts w:hint="eastAsia" w:cs="Arial" w:asciiTheme="minorEastAsia" w:hAnsiTheme="minorEastAsia" w:eastAsiaTheme="minorEastAsia"/>
          <w:spacing w:val="-2"/>
          <w:position w:val="-2"/>
          <w:sz w:val="24"/>
        </w:rPr>
        <w:t>校企之间进行多次高层对话，沟通行业、企业用工信息，了解行业企业岗位要求，征求用工企业对学校教育教学工作的建议和意见，尽快实现校企对接，专业与岗位要求对接。在这过程中，校内教师到企业并与企业的技师结对子，把教师和技师都培养成双师型教师，提高教师的一体化教学能力。产教融合之路，不仅使职业学校办学贴近职业岗位，贴近社会实践，还使中职教育与工作变化、岗位职业变动始终融为一体，使专业跟随市场变化，不断更新教育办学思路，培养出适合企业发展的优质技术人才。</w:t>
      </w:r>
    </w:p>
    <w:p>
      <w:pPr>
        <w:widowControl/>
        <w:shd w:val="clear" w:color="auto" w:fill="FFFFFF"/>
        <w:spacing w:line="440" w:lineRule="exact"/>
        <w:jc w:val="center"/>
        <w:rPr>
          <w:rFonts w:hint="eastAsia" w:ascii="黑体" w:hAnsi="黑体" w:eastAsia="黑体"/>
          <w:spacing w:val="-2"/>
          <w:kern w:val="0"/>
          <w:position w:val="-2"/>
          <w:sz w:val="30"/>
          <w:szCs w:val="30"/>
        </w:rPr>
      </w:pPr>
    </w:p>
    <w:p>
      <w:pPr>
        <w:widowControl/>
        <w:shd w:val="clear" w:color="auto" w:fill="FFFFFF"/>
        <w:spacing w:line="440" w:lineRule="exact"/>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第五部分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社会贡献</w:t>
      </w:r>
    </w:p>
    <w:p>
      <w:pPr>
        <w:widowControl/>
        <w:shd w:val="clear" w:color="auto" w:fill="FFFFFF"/>
        <w:spacing w:line="440" w:lineRule="exact"/>
        <w:ind w:firstLine="472" w:firstLineChars="200"/>
        <w:rPr>
          <w:rFonts w:ascii="黑体" w:hAnsi="黑体" w:eastAsia="黑体" w:cs="Arial"/>
          <w:spacing w:val="-2"/>
          <w:position w:val="-2"/>
          <w:sz w:val="24"/>
          <w:szCs w:val="24"/>
        </w:rPr>
      </w:pPr>
      <w:r>
        <w:rPr>
          <w:rFonts w:hint="eastAsia" w:ascii="黑体" w:hAnsi="黑体" w:eastAsia="黑体" w:cs="Arial"/>
          <w:spacing w:val="-2"/>
          <w:position w:val="-2"/>
          <w:sz w:val="24"/>
          <w:szCs w:val="24"/>
        </w:rPr>
        <w:t>5.1技术技能人才培养</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5.1.1为地方培养技能人才</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学校视就业创业指导工作为事业发展的生命线。</w:t>
      </w:r>
      <w:r>
        <w:rPr>
          <w:rFonts w:hint="eastAsia" w:cs="Arial" w:asciiTheme="minorEastAsia" w:hAnsiTheme="minorEastAsia" w:eastAsiaTheme="minorEastAsia"/>
          <w:spacing w:val="-2"/>
          <w:position w:val="-2"/>
          <w:sz w:val="24"/>
          <w:lang w:eastAsia="zh-CN"/>
        </w:rPr>
        <w:t>面向退役军人</w:t>
      </w:r>
      <w:r>
        <w:rPr>
          <w:rFonts w:hint="eastAsia" w:cs="Arial" w:asciiTheme="minorEastAsia" w:hAnsiTheme="minorEastAsia" w:eastAsiaTheme="minorEastAsia"/>
          <w:spacing w:val="-2"/>
          <w:position w:val="-2"/>
          <w:sz w:val="24"/>
        </w:rPr>
        <w:t>开展</w:t>
      </w:r>
      <w:r>
        <w:rPr>
          <w:rFonts w:hint="eastAsia" w:cs="Arial" w:asciiTheme="minorEastAsia" w:hAnsiTheme="minorEastAsia" w:eastAsiaTheme="minorEastAsia"/>
          <w:spacing w:val="-2"/>
          <w:position w:val="-2"/>
          <w:sz w:val="24"/>
          <w:lang w:eastAsia="zh-CN"/>
        </w:rPr>
        <w:t>了</w:t>
      </w:r>
      <w:r>
        <w:rPr>
          <w:rFonts w:hint="eastAsia" w:cs="Arial" w:asciiTheme="minorEastAsia" w:hAnsiTheme="minorEastAsia" w:eastAsiaTheme="minorEastAsia"/>
          <w:spacing w:val="-2"/>
          <w:position w:val="-2"/>
          <w:sz w:val="24"/>
        </w:rPr>
        <w:t>丰富多样</w:t>
      </w:r>
      <w:r>
        <w:rPr>
          <w:rFonts w:hint="eastAsia" w:cs="Arial" w:asciiTheme="minorEastAsia" w:hAnsiTheme="minorEastAsia" w:eastAsiaTheme="minorEastAsia"/>
          <w:spacing w:val="-2"/>
          <w:position w:val="-2"/>
          <w:sz w:val="24"/>
          <w:lang w:eastAsia="zh-CN"/>
        </w:rPr>
        <w:t>就业</w:t>
      </w:r>
      <w:r>
        <w:rPr>
          <w:rFonts w:hint="eastAsia" w:cs="Arial" w:asciiTheme="minorEastAsia" w:hAnsiTheme="minorEastAsia" w:eastAsiaTheme="minorEastAsia"/>
          <w:spacing w:val="-2"/>
          <w:position w:val="-2"/>
          <w:sz w:val="24"/>
        </w:rPr>
        <w:t>创业</w:t>
      </w:r>
      <w:r>
        <w:rPr>
          <w:rFonts w:hint="eastAsia" w:cs="Arial" w:asciiTheme="minorEastAsia" w:hAnsiTheme="minorEastAsia" w:eastAsiaTheme="minorEastAsia"/>
          <w:spacing w:val="-2"/>
          <w:position w:val="-2"/>
          <w:sz w:val="24"/>
          <w:lang w:eastAsia="zh-CN"/>
        </w:rPr>
        <w:t>通识培训</w:t>
      </w:r>
      <w:r>
        <w:rPr>
          <w:rFonts w:hint="eastAsia" w:cs="Arial" w:asciiTheme="minorEastAsia" w:hAnsiTheme="minorEastAsia" w:eastAsiaTheme="minorEastAsia"/>
          <w:spacing w:val="-2"/>
          <w:position w:val="-2"/>
          <w:sz w:val="24"/>
        </w:rPr>
        <w:t>，进行职业生涯成长规划教育，培养职业能力、职业素养；建立就业创业信息平台，强化就业创业管理，完善就业服务体系。建立就业学生管理的跟踪和巡视回访制度，积极为毕业生提供后续管理服务和技术支撑</w:t>
      </w:r>
      <w:r>
        <w:rPr>
          <w:rFonts w:hint="eastAsia" w:cs="Arial" w:asciiTheme="minorEastAsia" w:hAnsiTheme="minorEastAsia" w:eastAsiaTheme="minorEastAsia"/>
          <w:spacing w:val="-2"/>
          <w:position w:val="-2"/>
          <w:sz w:val="24"/>
          <w:lang w:eastAsia="zh-CN"/>
        </w:rPr>
        <w:t>。本</w:t>
      </w:r>
      <w:r>
        <w:rPr>
          <w:rFonts w:hint="eastAsia"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lang w:eastAsia="zh-CN"/>
        </w:rPr>
        <w:t>度</w:t>
      </w:r>
      <w:r>
        <w:rPr>
          <w:rFonts w:hint="eastAsia" w:cs="Arial" w:asciiTheme="minorEastAsia" w:hAnsiTheme="minorEastAsia" w:eastAsiaTheme="minorEastAsia"/>
          <w:spacing w:val="-2"/>
          <w:position w:val="-2"/>
          <w:sz w:val="24"/>
        </w:rPr>
        <w:t>，毕业生就业率达到</w:t>
      </w:r>
      <w:r>
        <w:rPr>
          <w:rFonts w:hint="eastAsia" w:cs="Arial" w:asciiTheme="minorEastAsia" w:hAnsiTheme="minorEastAsia" w:eastAsiaTheme="minorEastAsia"/>
          <w:spacing w:val="-2"/>
          <w:position w:val="-2"/>
          <w:sz w:val="24"/>
          <w:lang w:val="en-US" w:eastAsia="zh-CN"/>
        </w:rPr>
        <w:t>100</w:t>
      </w:r>
      <w:r>
        <w:rPr>
          <w:rFonts w:hint="eastAsia" w:cs="Arial" w:asciiTheme="minorEastAsia" w:hAnsiTheme="minorEastAsia" w:eastAsiaTheme="minorEastAsia"/>
          <w:spacing w:val="-2"/>
          <w:position w:val="-2"/>
          <w:sz w:val="24"/>
        </w:rPr>
        <w:t>%，对口就业率</w:t>
      </w:r>
      <w:r>
        <w:rPr>
          <w:rFonts w:cs="Arial" w:asciiTheme="minorEastAsia" w:hAnsiTheme="minorEastAsia" w:eastAsiaTheme="minorEastAsia"/>
          <w:spacing w:val="-2"/>
          <w:position w:val="-2"/>
          <w:sz w:val="24"/>
        </w:rPr>
        <w:t>98.7</w:t>
      </w:r>
      <w:r>
        <w:rPr>
          <w:rFonts w:hint="eastAsia" w:cs="Arial" w:asciiTheme="minorEastAsia" w:hAnsiTheme="minorEastAsia" w:eastAsiaTheme="minorEastAsia"/>
          <w:spacing w:val="-2"/>
          <w:position w:val="-2"/>
          <w:sz w:val="24"/>
        </w:rPr>
        <w:t>%，本地就业率</w:t>
      </w:r>
      <w:r>
        <w:rPr>
          <w:rFonts w:cs="Arial" w:asciiTheme="minorEastAsia" w:hAnsiTheme="minorEastAsia" w:eastAsiaTheme="minorEastAsia"/>
          <w:spacing w:val="-2"/>
          <w:position w:val="-2"/>
          <w:sz w:val="24"/>
        </w:rPr>
        <w:t>95</w:t>
      </w:r>
      <w:r>
        <w:rPr>
          <w:rFonts w:hint="eastAsia" w:cs="Arial" w:asciiTheme="minorEastAsia" w:hAnsiTheme="minorEastAsia" w:eastAsiaTheme="minorEastAsia"/>
          <w:spacing w:val="-2"/>
          <w:position w:val="-2"/>
          <w:sz w:val="24"/>
        </w:rPr>
        <w:t>%，用人单位满意率达</w:t>
      </w:r>
      <w:r>
        <w:rPr>
          <w:rFonts w:hint="eastAsia" w:cs="Arial" w:asciiTheme="minorEastAsia" w:hAnsiTheme="minorEastAsia" w:eastAsiaTheme="minorEastAsia"/>
          <w:spacing w:val="-2"/>
          <w:position w:val="-2"/>
          <w:sz w:val="24"/>
          <w:lang w:val="en-US" w:eastAsia="zh-CN"/>
        </w:rPr>
        <w:t>100</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rPr>
          <w:rFonts w:hint="eastAsia" w:ascii="黑体" w:hAnsi="黑体" w:eastAsia="黑体" w:cs="Arial"/>
          <w:spacing w:val="-2"/>
          <w:position w:val="-2"/>
          <w:sz w:val="24"/>
          <w:szCs w:val="24"/>
        </w:rPr>
      </w:pPr>
      <w:r>
        <w:rPr>
          <w:rFonts w:hint="eastAsia" w:ascii="黑体" w:hAnsi="黑体" w:eastAsia="黑体" w:cs="Arial"/>
          <w:spacing w:val="-2"/>
          <w:position w:val="-2"/>
          <w:sz w:val="24"/>
          <w:szCs w:val="24"/>
        </w:rPr>
        <w:t>5.2社会服务</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lang w:val="en-US" w:eastAsia="zh-CN"/>
        </w:rPr>
      </w:pPr>
      <w:r>
        <w:rPr>
          <w:rFonts w:hint="eastAsia" w:cs="Arial" w:asciiTheme="minorEastAsia" w:hAnsiTheme="minorEastAsia" w:eastAsiaTheme="minorEastAsia"/>
          <w:spacing w:val="-2"/>
          <w:position w:val="-2"/>
          <w:sz w:val="24"/>
        </w:rPr>
        <w:t>5.2.1培训服务学校始终坚持围绕行业、产业发展需要，加大社会服务工作力度，主动服务经济社会发展大局。今年，</w:t>
      </w:r>
      <w:r>
        <w:rPr>
          <w:rFonts w:hint="eastAsia" w:cs="Arial" w:asciiTheme="majorEastAsia" w:hAnsiTheme="majorEastAsia" w:eastAsiaTheme="majorEastAsia"/>
          <w:spacing w:val="-2"/>
          <w:position w:val="-2"/>
          <w:sz w:val="24"/>
          <w:lang w:val="en-US" w:eastAsia="zh-CN"/>
        </w:rPr>
        <w:t>受疫情影响上半年无法组织培训，</w:t>
      </w:r>
      <w:r>
        <w:rPr>
          <w:rFonts w:hint="eastAsia" w:cs="Arial" w:asciiTheme="minorEastAsia" w:hAnsiTheme="minorEastAsia" w:eastAsiaTheme="minorEastAsia"/>
          <w:spacing w:val="-2"/>
          <w:position w:val="-2"/>
          <w:sz w:val="24"/>
        </w:rPr>
        <w:t>学校组织了</w:t>
      </w:r>
      <w:r>
        <w:rPr>
          <w:rFonts w:hint="eastAsia" w:cs="Arial" w:asciiTheme="minorEastAsia" w:hAnsiTheme="minorEastAsia" w:eastAsiaTheme="minorEastAsia"/>
          <w:spacing w:val="-2"/>
          <w:position w:val="-2"/>
          <w:sz w:val="24"/>
          <w:lang w:eastAsia="zh-CN"/>
        </w:rPr>
        <w:t>职业技能等级证书考核培训、</w:t>
      </w:r>
      <w:r>
        <w:rPr>
          <w:rFonts w:hint="eastAsia" w:cs="Arial" w:asciiTheme="minorEastAsia" w:hAnsiTheme="minorEastAsia" w:eastAsiaTheme="minorEastAsia"/>
          <w:spacing w:val="-2"/>
          <w:position w:val="-2"/>
          <w:sz w:val="24"/>
        </w:rPr>
        <w:t>岗前培训、创业培训，</w:t>
      </w:r>
      <w:r>
        <w:rPr>
          <w:rFonts w:hint="eastAsia" w:cs="Arial" w:asciiTheme="minorEastAsia" w:hAnsiTheme="minorEastAsia" w:eastAsiaTheme="minorEastAsia"/>
          <w:spacing w:val="-2"/>
          <w:position w:val="-2"/>
          <w:sz w:val="24"/>
          <w:lang w:val="en-US" w:eastAsia="zh-CN"/>
        </w:rPr>
        <w:t>2020</w:t>
      </w:r>
      <w:r>
        <w:rPr>
          <w:rFonts w:hint="eastAsia" w:cs="Arial" w:asciiTheme="minorEastAsia" w:hAnsiTheme="minorEastAsia" w:eastAsiaTheme="minorEastAsia"/>
          <w:spacing w:val="-2"/>
          <w:position w:val="-2"/>
          <w:sz w:val="24"/>
        </w:rPr>
        <w:t>年学校开展社会服务达</w:t>
      </w:r>
      <w:r>
        <w:rPr>
          <w:rFonts w:hint="eastAsia" w:cs="Arial" w:asciiTheme="minorEastAsia" w:hAnsiTheme="minorEastAsia" w:eastAsiaTheme="minorEastAsia"/>
          <w:spacing w:val="-2"/>
          <w:position w:val="-2"/>
          <w:sz w:val="24"/>
          <w:lang w:val="en-US" w:eastAsia="zh-CN"/>
        </w:rPr>
        <w:t>334</w:t>
      </w:r>
      <w:r>
        <w:rPr>
          <w:rFonts w:hint="eastAsia" w:cs="Arial" w:asciiTheme="minorEastAsia" w:hAnsiTheme="minorEastAsia" w:eastAsiaTheme="minorEastAsia"/>
          <w:spacing w:val="-2"/>
          <w:position w:val="-2"/>
          <w:sz w:val="24"/>
        </w:rPr>
        <w:t>人。</w:t>
      </w:r>
      <w:r>
        <w:rPr>
          <w:rFonts w:hint="eastAsia" w:cs="Arial" w:asciiTheme="minorEastAsia" w:hAnsiTheme="minorEastAsia" w:eastAsiaTheme="minorEastAsia"/>
          <w:spacing w:val="-2"/>
          <w:position w:val="-2"/>
          <w:sz w:val="24"/>
          <w:lang w:eastAsia="zh-CN"/>
        </w:rPr>
        <w:t>详见</w:t>
      </w:r>
      <w:r>
        <w:rPr>
          <w:rFonts w:hint="eastAsia" w:cs="Arial" w:asciiTheme="minorEastAsia" w:hAnsiTheme="minorEastAsia" w:eastAsiaTheme="minorEastAsia"/>
          <w:spacing w:val="-2"/>
          <w:position w:val="-2"/>
          <w:sz w:val="24"/>
          <w:lang w:val="en-US" w:eastAsia="zh-CN"/>
        </w:rPr>
        <w:t>2020-2021年培训服务情况统计表5-1。</w:t>
      </w:r>
    </w:p>
    <w:p>
      <w:pPr>
        <w:widowControl/>
        <w:shd w:val="clear" w:color="auto" w:fill="FFFFFF"/>
        <w:spacing w:line="440" w:lineRule="exact"/>
        <w:ind w:firstLine="472" w:firstLineChars="200"/>
        <w:jc w:val="center"/>
        <w:rPr>
          <w:rFonts w:hint="default" w:cs="Arial" w:asciiTheme="majorEastAsia" w:hAnsiTheme="majorEastAsia" w:eastAsiaTheme="majorEastAsia"/>
          <w:spacing w:val="-2"/>
          <w:position w:val="-2"/>
          <w:sz w:val="24"/>
          <w:lang w:val="en-US" w:eastAsia="zh-CN"/>
        </w:rPr>
      </w:pPr>
      <w:r>
        <w:rPr>
          <w:rFonts w:hint="eastAsia" w:cs="Arial" w:asciiTheme="majorEastAsia" w:hAnsiTheme="majorEastAsia" w:eastAsiaTheme="majorEastAsia"/>
          <w:spacing w:val="-2"/>
          <w:position w:val="-2"/>
          <w:sz w:val="24"/>
          <w:lang w:val="en-US" w:eastAsia="zh-CN"/>
        </w:rPr>
        <w:t>表5-1 2020-2021年培训服务情况统计表</w:t>
      </w:r>
    </w:p>
    <w:p>
      <w:pPr>
        <w:widowControl/>
        <w:shd w:val="clear" w:color="auto" w:fill="FFFFFF"/>
        <w:spacing w:line="440" w:lineRule="exact"/>
        <w:ind w:firstLine="472" w:firstLineChars="200"/>
        <w:jc w:val="center"/>
        <w:rPr>
          <w:rFonts w:hint="eastAsia"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drawing>
          <wp:anchor distT="0" distB="0" distL="114300" distR="114300" simplePos="0" relativeHeight="251661312" behindDoc="1" locked="0" layoutInCell="1" allowOverlap="1">
            <wp:simplePos x="0" y="0"/>
            <wp:positionH relativeFrom="column">
              <wp:posOffset>92075</wp:posOffset>
            </wp:positionH>
            <wp:positionV relativeFrom="paragraph">
              <wp:posOffset>11430</wp:posOffset>
            </wp:positionV>
            <wp:extent cx="5486400" cy="2696210"/>
            <wp:effectExtent l="4445" t="4445" r="14605" b="23495"/>
            <wp:wrapTight wrapText="bothSides">
              <wp:wrapPolygon>
                <wp:start x="-17" y="-36"/>
                <wp:lineTo x="-17" y="21483"/>
                <wp:lineTo x="21583" y="21483"/>
                <wp:lineTo x="21583" y="-36"/>
                <wp:lineTo x="-17" y="-36"/>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widowControl/>
        <w:shd w:val="clear" w:color="auto" w:fill="FFFFFF"/>
        <w:spacing w:line="440" w:lineRule="exact"/>
        <w:ind w:firstLine="474" w:firstLineChars="200"/>
        <w:rPr>
          <w:rFonts w:cs="Arial" w:asciiTheme="majorEastAsia" w:hAnsiTheme="majorEastAsia" w:eastAsiaTheme="majorEastAsia"/>
          <w:b/>
          <w:bCs/>
          <w:spacing w:val="-2"/>
          <w:position w:val="-2"/>
          <w:sz w:val="24"/>
        </w:rPr>
      </w:pPr>
      <w:r>
        <w:rPr>
          <w:rFonts w:hint="eastAsia" w:cs="Arial" w:asciiTheme="majorEastAsia" w:hAnsiTheme="majorEastAsia" w:eastAsiaTheme="majorEastAsia"/>
          <w:b/>
          <w:bCs/>
          <w:spacing w:val="-2"/>
          <w:position w:val="-2"/>
          <w:sz w:val="24"/>
        </w:rPr>
        <w:t>5.2.2技能鉴定</w:t>
      </w:r>
    </w:p>
    <w:p>
      <w:pPr>
        <w:widowControl/>
        <w:shd w:val="clear" w:color="auto" w:fill="FFFFFF"/>
        <w:spacing w:line="440" w:lineRule="exact"/>
        <w:ind w:firstLine="472" w:firstLineChars="200"/>
        <w:rPr>
          <w:rFonts w:hint="default" w:cs="Arial" w:asciiTheme="majorEastAsia" w:hAnsiTheme="majorEastAsia" w:eastAsiaTheme="majorEastAsia"/>
          <w:spacing w:val="-2"/>
          <w:position w:val="-2"/>
          <w:sz w:val="24"/>
          <w:lang w:val="en-US"/>
        </w:rPr>
      </w:pPr>
      <w:r>
        <w:rPr>
          <w:rFonts w:hint="eastAsia" w:cs="Arial" w:asciiTheme="majorEastAsia" w:hAnsiTheme="majorEastAsia" w:eastAsiaTheme="majorEastAsia"/>
          <w:spacing w:val="-2"/>
          <w:position w:val="-2"/>
          <w:sz w:val="24"/>
        </w:rPr>
        <w:t>学校本年度完成总计</w:t>
      </w:r>
      <w:r>
        <w:rPr>
          <w:rFonts w:hint="eastAsia" w:cs="Arial" w:asciiTheme="majorEastAsia" w:hAnsiTheme="majorEastAsia" w:eastAsiaTheme="majorEastAsia"/>
          <w:spacing w:val="-2"/>
          <w:position w:val="-2"/>
          <w:sz w:val="24"/>
          <w:lang w:val="en-US" w:eastAsia="zh-CN"/>
        </w:rPr>
        <w:t>213</w:t>
      </w:r>
      <w:r>
        <w:rPr>
          <w:rFonts w:hint="eastAsia" w:cs="Arial" w:asciiTheme="majorEastAsia" w:hAnsiTheme="majorEastAsia" w:eastAsiaTheme="majorEastAsia"/>
          <w:spacing w:val="-2"/>
          <w:position w:val="-2"/>
          <w:sz w:val="24"/>
        </w:rPr>
        <w:t>人次</w:t>
      </w:r>
      <w:r>
        <w:rPr>
          <w:rFonts w:hint="eastAsia" w:cs="Arial" w:asciiTheme="majorEastAsia" w:hAnsiTheme="majorEastAsia" w:eastAsiaTheme="majorEastAsia"/>
          <w:spacing w:val="-2"/>
          <w:position w:val="-2"/>
          <w:sz w:val="24"/>
          <w:lang w:val="en-US" w:eastAsia="zh-CN"/>
        </w:rPr>
        <w:t>。焊工和厨师减少原因是受疫情影响暂停职业资格培训与鉴定。学校申报了1+X证书制度试点，中餐烹饪、幼儿保育专业部分学生参加了社会培训评价组织开展的职业技能等级证书考核，学生获得职业技能等级证书人数增加了148人。详见2020-2021年中等职业教育技能鉴定获证情况统计表5-2</w:t>
      </w:r>
    </w:p>
    <w:p>
      <w:pPr>
        <w:widowControl/>
        <w:shd w:val="clear" w:color="auto" w:fill="FFFFFF"/>
        <w:spacing w:line="440" w:lineRule="exact"/>
        <w:ind w:firstLine="472" w:firstLineChars="20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表</w:t>
      </w:r>
      <w:r>
        <w:rPr>
          <w:rFonts w:cs="Arial" w:asciiTheme="majorEastAsia" w:hAnsiTheme="majorEastAsia" w:eastAsiaTheme="majorEastAsia"/>
          <w:spacing w:val="-2"/>
          <w:position w:val="-2"/>
          <w:sz w:val="24"/>
        </w:rPr>
        <w:t xml:space="preserve"> 5-</w:t>
      </w:r>
      <w:r>
        <w:rPr>
          <w:rFonts w:hint="eastAsia" w:cs="Arial" w:asciiTheme="majorEastAsia" w:hAnsiTheme="majorEastAsia" w:eastAsiaTheme="majorEastAsia"/>
          <w:spacing w:val="-2"/>
          <w:position w:val="-2"/>
          <w:sz w:val="24"/>
          <w:lang w:val="en-US" w:eastAsia="zh-CN"/>
        </w:rPr>
        <w:t>2</w:t>
      </w:r>
      <w:r>
        <w:rPr>
          <w:rFonts w:cs="Arial" w:asciiTheme="majorEastAsia" w:hAnsiTheme="majorEastAsia" w:eastAsiaTheme="majorEastAsia"/>
          <w:spacing w:val="-2"/>
          <w:position w:val="-2"/>
          <w:sz w:val="24"/>
        </w:rPr>
        <w:t xml:space="preserve">  20</w:t>
      </w:r>
      <w:r>
        <w:rPr>
          <w:rFonts w:hint="eastAsia" w:cs="Arial" w:asciiTheme="majorEastAsia" w:hAnsiTheme="majorEastAsia" w:eastAsiaTheme="majorEastAsia"/>
          <w:spacing w:val="-2"/>
          <w:position w:val="-2"/>
          <w:sz w:val="24"/>
          <w:lang w:val="en-US" w:eastAsia="zh-CN"/>
        </w:rPr>
        <w:t>20</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21</w:t>
      </w:r>
      <w:r>
        <w:rPr>
          <w:rFonts w:hint="eastAsia" w:cs="Arial" w:asciiTheme="majorEastAsia" w:hAnsiTheme="majorEastAsia" w:eastAsiaTheme="majorEastAsia"/>
          <w:spacing w:val="-2"/>
          <w:position w:val="-2"/>
          <w:sz w:val="24"/>
        </w:rPr>
        <w:t>年中等职业教育</w:t>
      </w:r>
      <w:r>
        <w:rPr>
          <w:rFonts w:hint="eastAsia" w:cs="Arial" w:asciiTheme="majorEastAsia" w:hAnsiTheme="majorEastAsia" w:eastAsiaTheme="majorEastAsia"/>
          <w:spacing w:val="-2"/>
          <w:position w:val="-2"/>
          <w:sz w:val="24"/>
          <w:lang w:eastAsia="zh-CN"/>
        </w:rPr>
        <w:t>技能鉴定获证</w:t>
      </w:r>
      <w:r>
        <w:rPr>
          <w:rFonts w:hint="eastAsia" w:cs="Arial" w:asciiTheme="majorEastAsia" w:hAnsiTheme="majorEastAsia" w:eastAsiaTheme="majorEastAsia"/>
          <w:spacing w:val="-2"/>
          <w:position w:val="-2"/>
          <w:sz w:val="24"/>
        </w:rPr>
        <w:t>情况统计表</w:t>
      </w:r>
    </w:p>
    <w:tbl>
      <w:tblPr>
        <w:tblStyle w:val="10"/>
        <w:tblW w:w="9061" w:type="dxa"/>
        <w:tblInd w:w="0" w:type="dxa"/>
        <w:tblLayout w:type="fixed"/>
        <w:tblCellMar>
          <w:top w:w="0" w:type="dxa"/>
          <w:left w:w="108" w:type="dxa"/>
          <w:bottom w:w="0" w:type="dxa"/>
          <w:right w:w="108" w:type="dxa"/>
        </w:tblCellMar>
      </w:tblPr>
      <w:tblGrid>
        <w:gridCol w:w="1059"/>
        <w:gridCol w:w="1488"/>
        <w:gridCol w:w="1843"/>
        <w:gridCol w:w="1984"/>
        <w:gridCol w:w="1559"/>
        <w:gridCol w:w="1128"/>
      </w:tblGrid>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shd w:val="clear" w:color="auto" w:fill="5B9BD5" w:themeFill="accent1"/>
            <w:vAlign w:val="center"/>
          </w:tcPr>
          <w:p>
            <w:pPr>
              <w:widowControl/>
              <w:snapToGrid w:val="0"/>
              <w:spacing w:before="75" w:after="75" w:line="315" w:lineRule="atLeast"/>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年号</w:t>
            </w:r>
          </w:p>
        </w:tc>
        <w:tc>
          <w:tcPr>
            <w:tcW w:w="1488"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lang w:eastAsia="zh-CN"/>
              </w:rPr>
              <w:t>电焊工</w:t>
            </w:r>
            <w:r>
              <w:rPr>
                <w:rFonts w:hint="eastAsia" w:cs="Tahoma" w:asciiTheme="majorEastAsia" w:hAnsiTheme="majorEastAsia" w:eastAsiaTheme="majorEastAsia"/>
                <w:bCs/>
                <w:kern w:val="0"/>
                <w:szCs w:val="18"/>
              </w:rPr>
              <w:t>（人）</w:t>
            </w:r>
          </w:p>
        </w:tc>
        <w:tc>
          <w:tcPr>
            <w:tcW w:w="1843"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lang w:eastAsia="zh-CN"/>
              </w:rPr>
              <w:t>厨师</w:t>
            </w:r>
            <w:r>
              <w:rPr>
                <w:rFonts w:hint="eastAsia" w:cs="Tahoma" w:asciiTheme="majorEastAsia" w:hAnsiTheme="majorEastAsia" w:eastAsiaTheme="majorEastAsia"/>
                <w:bCs/>
                <w:kern w:val="0"/>
                <w:szCs w:val="18"/>
              </w:rPr>
              <w:t>（人）</w:t>
            </w:r>
          </w:p>
        </w:tc>
        <w:tc>
          <w:tcPr>
            <w:tcW w:w="1984"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420" w:hanging="420" w:hangingChars="200"/>
              <w:jc w:val="center"/>
              <w:rPr>
                <w:rFonts w:hint="eastAsia" w:cs="Tahoma" w:asciiTheme="majorEastAsia" w:hAnsiTheme="majorEastAsia" w:eastAsiaTheme="majorEastAsia"/>
                <w:bCs/>
                <w:kern w:val="0"/>
                <w:szCs w:val="18"/>
                <w:lang w:eastAsia="zh-CN"/>
              </w:rPr>
            </w:pPr>
            <w:r>
              <w:rPr>
                <w:rFonts w:hint="eastAsia" w:cs="Tahoma" w:asciiTheme="majorEastAsia" w:hAnsiTheme="majorEastAsia" w:eastAsiaTheme="majorEastAsia"/>
                <w:bCs/>
                <w:kern w:val="0"/>
                <w:szCs w:val="18"/>
                <w:lang w:eastAsia="zh-CN"/>
              </w:rPr>
              <w:t>职业技能等级证书</w:t>
            </w:r>
          </w:p>
        </w:tc>
        <w:tc>
          <w:tcPr>
            <w:tcW w:w="1559"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firstLine="105" w:firstLineChars="5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其它（人次）</w:t>
            </w:r>
          </w:p>
        </w:tc>
        <w:tc>
          <w:tcPr>
            <w:tcW w:w="1128"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小计</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cs="Tahoma" w:asciiTheme="majorEastAsia" w:hAnsiTheme="majorEastAsia" w:eastAsiaTheme="majorEastAsia"/>
                <w:bCs/>
                <w:kern w:val="0"/>
                <w:szCs w:val="18"/>
              </w:rPr>
              <w:t>20</w:t>
            </w:r>
            <w:r>
              <w:rPr>
                <w:rFonts w:hint="eastAsia" w:cs="Tahoma" w:asciiTheme="majorEastAsia" w:hAnsiTheme="majorEastAsia" w:eastAsiaTheme="majorEastAsia"/>
                <w:bCs/>
                <w:kern w:val="0"/>
                <w:szCs w:val="18"/>
                <w:lang w:val="en-US" w:eastAsia="zh-CN"/>
              </w:rPr>
              <w:t>20</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66</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kern w:val="0"/>
                <w:sz w:val="21"/>
                <w:lang w:val="en-US" w:eastAsia="zh-CN"/>
              </w:rPr>
              <w:t>65</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0</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kern w:val="0"/>
                <w:sz w:val="21"/>
                <w:lang w:val="en-US" w:eastAsia="zh-CN"/>
              </w:rPr>
              <w:t>131</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cs="Tahoma" w:asciiTheme="majorEastAsia" w:hAnsiTheme="majorEastAsia" w:eastAsiaTheme="majorEastAsia"/>
                <w:bCs/>
                <w:kern w:val="0"/>
                <w:szCs w:val="18"/>
              </w:rPr>
              <w:t>20</w:t>
            </w:r>
            <w:r>
              <w:rPr>
                <w:rFonts w:hint="eastAsia" w:cs="Tahoma" w:asciiTheme="majorEastAsia" w:hAnsiTheme="majorEastAsia" w:eastAsiaTheme="majorEastAsia"/>
                <w:bCs/>
                <w:kern w:val="0"/>
                <w:szCs w:val="18"/>
                <w:lang w:val="en-US" w:eastAsia="zh-CN"/>
              </w:rPr>
              <w:t>21</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21</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44</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148</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default" w:ascii="仿宋" w:hAnsi="仿宋" w:eastAsia="仿宋" w:cs="Times New Roman"/>
                <w:kern w:val="0"/>
                <w:sz w:val="21"/>
                <w:szCs w:val="21"/>
                <w:lang w:val="en-US" w:eastAsia="zh-CN" w:bidi="ar-SA"/>
              </w:rPr>
            </w:pPr>
            <w:r>
              <w:rPr>
                <w:rFonts w:hint="eastAsia" w:ascii="仿宋" w:hAnsi="仿宋" w:eastAsia="仿宋" w:cs="Times New Roman"/>
                <w:kern w:val="0"/>
                <w:sz w:val="21"/>
                <w:szCs w:val="21"/>
                <w:lang w:val="en-US" w:eastAsia="zh-CN" w:bidi="ar-SA"/>
              </w:rPr>
              <w:t>213</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变化</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减少45</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减少21</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增加148</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增加82</w:t>
            </w:r>
          </w:p>
        </w:tc>
      </w:tr>
    </w:tbl>
    <w:p>
      <w:pPr>
        <w:widowControl/>
        <w:shd w:val="clear" w:color="auto" w:fill="FFFFFF"/>
        <w:ind w:firstLine="592" w:firstLineChars="200"/>
        <w:jc w:val="center"/>
        <w:rPr>
          <w:rFonts w:hint="eastAsia" w:ascii="黑体" w:hAnsi="黑体" w:eastAsia="黑体"/>
          <w:spacing w:val="-2"/>
          <w:kern w:val="0"/>
          <w:position w:val="-2"/>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第六部分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举办人职责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eastAsia" w:ascii="黑体" w:hAnsi="黑体" w:eastAsia="黑体" w:cs="Arial"/>
          <w:spacing w:val="-2"/>
          <w:position w:val="-2"/>
          <w:sz w:val="24"/>
          <w:szCs w:val="24"/>
        </w:rPr>
      </w:pPr>
      <w:r>
        <w:rPr>
          <w:rFonts w:hint="eastAsia" w:ascii="黑体" w:hAnsi="黑体" w:eastAsia="黑体" w:cs="Arial"/>
          <w:spacing w:val="-2"/>
          <w:position w:val="-2"/>
          <w:sz w:val="24"/>
          <w:szCs w:val="24"/>
        </w:rPr>
        <w:t>6.1经费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学校办学经费得到保障，根据20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年红山区教育主管部门公用经费预算，学校办学经费为</w:t>
      </w:r>
      <w:r>
        <w:rPr>
          <w:rFonts w:hint="eastAsia" w:cs="Arial" w:asciiTheme="minorEastAsia" w:hAnsiTheme="minorEastAsia" w:eastAsiaTheme="minorEastAsia"/>
          <w:spacing w:val="-2"/>
          <w:position w:val="-2"/>
          <w:sz w:val="24"/>
          <w:lang w:val="en-US" w:eastAsia="zh-CN"/>
        </w:rPr>
        <w:t>4563</w:t>
      </w:r>
      <w:r>
        <w:rPr>
          <w:rFonts w:cs="Arial" w:asciiTheme="minorEastAsia" w:hAnsiTheme="minorEastAsia" w:eastAsiaTheme="minorEastAsia"/>
          <w:spacing w:val="-2"/>
          <w:position w:val="-2"/>
          <w:sz w:val="24"/>
        </w:rPr>
        <w:t>万元</w:t>
      </w:r>
      <w:r>
        <w:rPr>
          <w:rFonts w:hint="eastAsia" w:cs="Arial" w:asciiTheme="minorEastAsia" w:hAnsiTheme="minorEastAsia" w:eastAsiaTheme="minorEastAsia"/>
          <w:spacing w:val="-2"/>
          <w:position w:val="-2"/>
          <w:sz w:val="24"/>
        </w:rPr>
        <w:t>，能及时到位，主要用于人员工</w:t>
      </w:r>
      <w:r>
        <w:rPr>
          <w:rFonts w:cs="Arial" w:asciiTheme="minorEastAsia" w:hAnsiTheme="minorEastAsia" w:eastAsiaTheme="minorEastAsia"/>
          <w:spacing w:val="-2"/>
          <w:position w:val="-2"/>
          <w:sz w:val="24"/>
        </w:rPr>
        <w:t>资支出、水电暧费支出、专业建设、教师教育</w:t>
      </w:r>
      <w:r>
        <w:rPr>
          <w:rFonts w:hint="eastAsia" w:cs="Arial" w:asciiTheme="minorEastAsia" w:hAnsiTheme="minorEastAsia" w:eastAsiaTheme="minorEastAsia"/>
          <w:spacing w:val="-2"/>
          <w:position w:val="-2"/>
          <w:sz w:val="24"/>
        </w:rPr>
        <w:t>及日常运转等。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ascii="黑体" w:hAnsi="黑体" w:eastAsia="黑体" w:cs="Arial"/>
          <w:spacing w:val="-2"/>
          <w:position w:val="-2"/>
          <w:sz w:val="24"/>
          <w:szCs w:val="24"/>
        </w:rPr>
      </w:pPr>
      <w:r>
        <w:rPr>
          <w:rFonts w:hint="eastAsia" w:ascii="黑体" w:hAnsi="黑体" w:eastAsia="黑体" w:cs="Arial"/>
          <w:spacing w:val="-2"/>
          <w:position w:val="-2"/>
          <w:sz w:val="24"/>
          <w:szCs w:val="24"/>
        </w:rPr>
        <w:t>6.2政策措施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红山区政府历来非常重视职业教育的发展，政府将职业教育纳入经济社会发展 “十</w:t>
      </w:r>
      <w:r>
        <w:rPr>
          <w:rFonts w:hint="eastAsia" w:cs="Arial" w:asciiTheme="majorEastAsia" w:hAnsiTheme="majorEastAsia" w:eastAsiaTheme="majorEastAsia"/>
          <w:spacing w:val="-2"/>
          <w:position w:val="-2"/>
          <w:sz w:val="24"/>
          <w:lang w:eastAsia="zh-CN"/>
        </w:rPr>
        <w:t>四</w:t>
      </w:r>
      <w:r>
        <w:rPr>
          <w:rFonts w:hint="eastAsia" w:cs="Arial" w:asciiTheme="majorEastAsia" w:hAnsiTheme="majorEastAsia" w:eastAsiaTheme="majorEastAsia"/>
          <w:spacing w:val="-2"/>
          <w:position w:val="-2"/>
          <w:sz w:val="24"/>
        </w:rPr>
        <w:t>五”规划，出台</w:t>
      </w:r>
      <w:r>
        <w:rPr>
          <w:rFonts w:hint="eastAsia" w:cs="Arial" w:asciiTheme="majorEastAsia" w:hAnsiTheme="majorEastAsia" w:eastAsiaTheme="majorEastAsia"/>
          <w:spacing w:val="-2"/>
          <w:position w:val="-2"/>
          <w:sz w:val="24"/>
          <w:lang w:eastAsia="zh-CN"/>
        </w:rPr>
        <w:t>了《赤峰市红山区人民政府关于深化新时代教师队伍建设改革的实施意见》，</w:t>
      </w:r>
      <w:r>
        <w:rPr>
          <w:rFonts w:hint="eastAsia" w:cs="Arial" w:asciiTheme="majorEastAsia" w:hAnsiTheme="majorEastAsia" w:eastAsiaTheme="majorEastAsia"/>
          <w:spacing w:val="-2"/>
          <w:position w:val="-2"/>
          <w:sz w:val="24"/>
        </w:rPr>
        <w:t>将</w:t>
      </w:r>
      <w:r>
        <w:rPr>
          <w:rFonts w:hint="eastAsia" w:cs="Arial" w:asciiTheme="majorEastAsia" w:hAnsiTheme="majorEastAsia" w:eastAsiaTheme="majorEastAsia"/>
          <w:spacing w:val="-2"/>
          <w:position w:val="-2"/>
          <w:sz w:val="24"/>
          <w:lang w:eastAsia="zh-CN"/>
        </w:rPr>
        <w:t>支持发展</w:t>
      </w:r>
      <w:r>
        <w:rPr>
          <w:rFonts w:hint="eastAsia" w:cs="Arial" w:asciiTheme="majorEastAsia" w:hAnsiTheme="majorEastAsia" w:eastAsiaTheme="majorEastAsia"/>
          <w:spacing w:val="-2"/>
          <w:position w:val="-2"/>
          <w:sz w:val="24"/>
        </w:rPr>
        <w:t>职业教育列入政府对相关部门的考核</w:t>
      </w:r>
      <w:r>
        <w:rPr>
          <w:rFonts w:hint="eastAsia" w:cs="Arial" w:asciiTheme="majorEastAsia" w:hAnsiTheme="majorEastAsia" w:eastAsiaTheme="majorEastAsia"/>
          <w:spacing w:val="-2"/>
          <w:position w:val="-2"/>
          <w:sz w:val="24"/>
          <w:lang w:eastAsia="zh-CN"/>
        </w:rPr>
        <w:t>内容</w:t>
      </w:r>
      <w:r>
        <w:rPr>
          <w:rFonts w:hint="eastAsia" w:cs="Arial" w:asciiTheme="majorEastAsia" w:hAnsiTheme="majorEastAsia" w:eastAsiaTheme="majorEastAsia"/>
          <w:spacing w:val="-2"/>
          <w:position w:val="-2"/>
          <w:sz w:val="24"/>
        </w:rPr>
        <w:t>；重视职业教育招生工作，将职业教育学生入学率作为初中的考核指标，</w:t>
      </w:r>
      <w:r>
        <w:rPr>
          <w:rFonts w:hint="eastAsia" w:cs="Arial" w:asciiTheme="majorEastAsia" w:hAnsiTheme="majorEastAsia" w:eastAsiaTheme="majorEastAsia"/>
          <w:spacing w:val="-2"/>
          <w:position w:val="-2"/>
          <w:sz w:val="24"/>
          <w:lang w:eastAsia="zh-CN"/>
        </w:rPr>
        <w:t>支持学校补充师资，</w:t>
      </w:r>
      <w:r>
        <w:rPr>
          <w:rFonts w:hint="eastAsia" w:cs="Arial" w:asciiTheme="majorEastAsia" w:hAnsiTheme="majorEastAsia" w:eastAsiaTheme="majorEastAsia"/>
          <w:spacing w:val="-2"/>
          <w:position w:val="-2"/>
          <w:sz w:val="24"/>
        </w:rPr>
        <w:t>所有聘用教师由区财政预算内支付。学校办学有充分的</w:t>
      </w:r>
      <w:r>
        <w:rPr>
          <w:rFonts w:hint="eastAsia" w:cs="Arial" w:asciiTheme="majorEastAsia" w:hAnsiTheme="majorEastAsia" w:eastAsiaTheme="majorEastAsia"/>
          <w:spacing w:val="-2"/>
          <w:position w:val="-2"/>
          <w:sz w:val="24"/>
          <w:lang w:eastAsia="zh-CN"/>
        </w:rPr>
        <w:t>办学</w:t>
      </w:r>
      <w:r>
        <w:rPr>
          <w:rFonts w:hint="eastAsia" w:cs="Arial" w:asciiTheme="majorEastAsia" w:hAnsiTheme="majorEastAsia" w:eastAsiaTheme="majorEastAsia"/>
          <w:spacing w:val="-2"/>
          <w:position w:val="-2"/>
          <w:sz w:val="24"/>
        </w:rPr>
        <w:t>自主权，根据学校教学需要，年内招聘了</w:t>
      </w:r>
      <w:r>
        <w:rPr>
          <w:rFonts w:hint="eastAsia" w:cs="Arial" w:asciiTheme="majorEastAsia" w:hAnsiTheme="majorEastAsia" w:eastAsiaTheme="majorEastAsia"/>
          <w:spacing w:val="-2"/>
          <w:position w:val="-2"/>
          <w:sz w:val="24"/>
          <w:lang w:val="en-US" w:eastAsia="zh-CN"/>
        </w:rPr>
        <w:t>5</w:t>
      </w:r>
      <w:r>
        <w:rPr>
          <w:rFonts w:hint="eastAsia" w:cs="Arial" w:asciiTheme="majorEastAsia" w:hAnsiTheme="majorEastAsia" w:eastAsiaTheme="majorEastAsia"/>
          <w:spacing w:val="-2"/>
          <w:position w:val="-2"/>
          <w:sz w:val="24"/>
        </w:rPr>
        <w:t>名专业课教师、</w:t>
      </w:r>
      <w:r>
        <w:rPr>
          <w:rFonts w:hint="eastAsia" w:cs="Arial" w:asciiTheme="majorEastAsia" w:hAnsiTheme="majorEastAsia" w:eastAsiaTheme="majorEastAsia"/>
          <w:spacing w:val="-2"/>
          <w:position w:val="-2"/>
          <w:sz w:val="24"/>
          <w:lang w:val="en-US" w:eastAsia="zh-CN"/>
        </w:rPr>
        <w:t>6</w:t>
      </w:r>
      <w:r>
        <w:rPr>
          <w:rFonts w:cs="Arial" w:asciiTheme="majorEastAsia" w:hAnsiTheme="majorEastAsia" w:eastAsiaTheme="majorEastAsia"/>
          <w:spacing w:val="-2"/>
          <w:position w:val="-2"/>
          <w:sz w:val="24"/>
        </w:rPr>
        <w:t>名文化课教师</w:t>
      </w:r>
      <w:r>
        <w:rPr>
          <w:rFonts w:hint="eastAsia" w:cs="Arial" w:asciiTheme="majorEastAsia" w:hAnsiTheme="majorEastAsia" w:eastAsiaTheme="majorEastAsia"/>
          <w:spacing w:val="-2"/>
          <w:position w:val="-2"/>
          <w:sz w:val="24"/>
        </w:rPr>
        <w:t>，保证学校教育教学工作的正常开展。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92" w:firstLineChars="200"/>
        <w:jc w:val="center"/>
        <w:textAlignment w:val="auto"/>
        <w:rPr>
          <w:rFonts w:hint="eastAsia" w:ascii="黑体" w:hAnsi="黑体" w:eastAsia="黑体"/>
          <w:spacing w:val="-2"/>
          <w:kern w:val="0"/>
          <w:position w:val="-2"/>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ascii="黑体" w:hAnsi="黑体" w:eastAsia="黑体" w:cs="Arial"/>
          <w:spacing w:val="-2"/>
          <w:position w:val="-2"/>
          <w:sz w:val="30"/>
          <w:szCs w:val="30"/>
        </w:rPr>
      </w:pPr>
      <w:r>
        <w:rPr>
          <w:rFonts w:hint="eastAsia" w:ascii="黑体" w:hAnsi="黑体" w:eastAsia="黑体"/>
          <w:spacing w:val="-2"/>
          <w:kern w:val="0"/>
          <w:position w:val="-2"/>
          <w:sz w:val="30"/>
          <w:szCs w:val="30"/>
        </w:rPr>
        <w:t>第七部分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特色创新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eastAsia" w:cs="Arial" w:asciiTheme="minorEastAsia" w:hAnsiTheme="minorEastAsia" w:eastAsiaTheme="minorEastAsia"/>
          <w:spacing w:val="-2"/>
          <w:position w:val="-2"/>
          <w:sz w:val="24"/>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b/>
          <w:bCs/>
          <w:spacing w:val="-2"/>
          <w:position w:val="-2"/>
          <w:sz w:val="24"/>
        </w:rPr>
        <w:t>案例1：</w:t>
      </w:r>
      <w:r>
        <w:rPr>
          <w:rFonts w:hint="eastAsia" w:cs="Arial" w:asciiTheme="minorEastAsia" w:hAnsiTheme="minorEastAsia" w:eastAsiaTheme="minorEastAsia"/>
          <w:spacing w:val="-2"/>
          <w:position w:val="-2"/>
          <w:sz w:val="24"/>
        </w:rPr>
        <w:t>融合党建聚合力  职业教育谱新篇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cs="Arial" w:asciiTheme="minorEastAsia" w:hAnsiTheme="minorEastAsia" w:eastAsiaTheme="minorEastAsia"/>
          <w:spacing w:val="-2"/>
          <w:position w:val="-2"/>
          <w:sz w:val="24"/>
        </w:rPr>
      </w:pPr>
      <w:r>
        <w:rPr>
          <w:rFonts w:hint="eastAsia" w:cs="Arial" w:asciiTheme="minorEastAsia" w:hAnsiTheme="minorEastAsia" w:eastAsiaTheme="minorEastAsia"/>
          <w:b/>
          <w:bCs/>
          <w:spacing w:val="-2"/>
          <w:position w:val="-2"/>
          <w:sz w:val="24"/>
        </w:rPr>
        <w:t>案例2：</w:t>
      </w:r>
      <w:r>
        <w:rPr>
          <w:rFonts w:hint="eastAsia" w:cs="Arial" w:asciiTheme="minorEastAsia" w:hAnsiTheme="minorEastAsia" w:eastAsiaTheme="minorEastAsia"/>
          <w:spacing w:val="-2"/>
          <w:position w:val="-2"/>
          <w:sz w:val="24"/>
          <w:lang w:eastAsia="zh-CN"/>
        </w:rPr>
        <w:t>立德树人</w:t>
      </w:r>
      <w:r>
        <w:rPr>
          <w:rFonts w:hint="eastAsia" w:cs="Arial" w:asciiTheme="minorEastAsia" w:hAnsiTheme="minorEastAsia" w:eastAsiaTheme="minorEastAsia"/>
          <w:spacing w:val="-2"/>
          <w:position w:val="-2"/>
          <w:sz w:val="24"/>
          <w:lang w:val="en-US" w:eastAsia="zh-CN"/>
        </w:rPr>
        <w:t xml:space="preserve"> </w:t>
      </w:r>
      <w:r>
        <w:rPr>
          <w:rFonts w:hint="eastAsia" w:cs="Arial" w:asciiTheme="minorEastAsia" w:hAnsiTheme="minorEastAsia" w:eastAsiaTheme="minorEastAsia"/>
          <w:spacing w:val="-2"/>
          <w:position w:val="-2"/>
          <w:sz w:val="24"/>
        </w:rPr>
        <w:t>让教育回归本真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92" w:firstLineChars="200"/>
        <w:jc w:val="center"/>
        <w:textAlignment w:val="auto"/>
        <w:rPr>
          <w:rFonts w:hint="eastAsia" w:ascii="黑体" w:hAnsi="黑体" w:eastAsia="黑体"/>
          <w:spacing w:val="-2"/>
          <w:kern w:val="0"/>
          <w:position w:val="-2"/>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92" w:firstLineChars="200"/>
        <w:jc w:val="center"/>
        <w:textAlignment w:val="auto"/>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第八部分</w:t>
      </w:r>
      <w:r>
        <w:rPr>
          <w:rFonts w:hint="eastAsia" w:ascii="黑体" w:hAnsi="黑体" w:eastAsia="黑体"/>
          <w:spacing w:val="-2"/>
          <w:kern w:val="0"/>
          <w:position w:val="-2"/>
          <w:sz w:val="30"/>
          <w:szCs w:val="30"/>
          <w:lang w:val="en-US" w:eastAsia="zh-CN"/>
        </w:rPr>
        <w:t xml:space="preserve"> </w:t>
      </w:r>
      <w:r>
        <w:rPr>
          <w:rFonts w:hint="eastAsia" w:ascii="黑体" w:hAnsi="黑体" w:eastAsia="黑体"/>
          <w:spacing w:val="-2"/>
          <w:kern w:val="0"/>
          <w:position w:val="-2"/>
          <w:sz w:val="30"/>
          <w:szCs w:val="30"/>
        </w:rPr>
        <w:t>主要问题改进措施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8.1存在问题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1</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学校现有专业教师尚不能完全满足学生学习和技能训练的需要，这使得专业课程教学在理论与教学的安排上衔接不够顺畅。</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专业教学资源的建设与现代职业教育体系建设的要求有一定的差距，资源开发力度需要进一步加强，资源共享平台需要进一步完善。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default" w:cs="Arial" w:asciiTheme="minorEastAsia" w:hAnsiTheme="minorEastAsia" w:eastAsiaTheme="minorEastAsia"/>
          <w:spacing w:val="-2"/>
          <w:position w:val="-2"/>
          <w:sz w:val="24"/>
          <w:lang w:val="en-US" w:eastAsia="zh-CN"/>
        </w:rPr>
      </w:pPr>
      <w:r>
        <w:rPr>
          <w:rFonts w:hint="eastAsia" w:cs="Arial" w:asciiTheme="minorEastAsia" w:hAnsiTheme="minorEastAsia" w:eastAsiaTheme="minorEastAsia"/>
          <w:spacing w:val="-2"/>
          <w:position w:val="-2"/>
          <w:sz w:val="24"/>
          <w:lang w:val="en-US" w:eastAsia="zh-CN"/>
        </w:rPr>
        <w:t>3.现代职业学校制度建设还有差距，运用信息技术手段提升学校治理能力还有待加强，提质培优行动计划实施任重道远。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hint="eastAsia" w:cs="Arial" w:asciiTheme="minorEastAsia" w:hAnsiTheme="minorEastAsia" w:eastAsiaTheme="minorEastAsia"/>
          <w:b/>
          <w:bCs/>
          <w:spacing w:val="-2"/>
          <w:position w:val="-2"/>
          <w:sz w:val="24"/>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8.2</w:t>
      </w:r>
      <w:r>
        <w:rPr>
          <w:rFonts w:hint="eastAsia" w:asciiTheme="minorEastAsia" w:hAnsiTheme="minorEastAsia" w:eastAsiaTheme="minorEastAsia"/>
          <w:b/>
          <w:bCs/>
          <w:spacing w:val="-2"/>
          <w:kern w:val="0"/>
          <w:position w:val="-2"/>
          <w:sz w:val="24"/>
        </w:rPr>
        <w:t>改进措施</w:t>
      </w:r>
    </w:p>
    <w:p>
      <w:pPr>
        <w:keepNext w:val="0"/>
        <w:keepLines w:val="0"/>
        <w:pageBreakBefore w:val="0"/>
        <w:kinsoku/>
        <w:wordWrap/>
        <w:overflowPunct/>
        <w:topLinePunct w:val="0"/>
        <w:autoSpaceDE/>
        <w:autoSpaceDN/>
        <w:bidi w:val="0"/>
        <w:adjustRightInd/>
        <w:snapToGrid/>
        <w:spacing w:line="440" w:lineRule="exact"/>
        <w:ind w:firstLine="472" w:firstLineChars="200"/>
        <w:textAlignment w:val="auto"/>
        <w:rPr>
          <w:rFonts w:hint="eastAsia" w:cs="Arial" w:asciiTheme="minorEastAsia" w:hAnsiTheme="minorEastAsia" w:eastAsiaTheme="minorEastAsia"/>
          <w:spacing w:val="-2"/>
          <w:position w:val="-2"/>
          <w:sz w:val="24"/>
          <w:lang w:eastAsia="zh-CN"/>
        </w:rPr>
      </w:pPr>
      <w:r>
        <w:rPr>
          <w:rFonts w:hint="eastAsia" w:cs="Arial" w:asciiTheme="minorEastAsia" w:hAnsiTheme="minorEastAsia" w:eastAsiaTheme="minorEastAsia"/>
          <w:spacing w:val="-2"/>
          <w:position w:val="-2"/>
          <w:sz w:val="24"/>
        </w:rPr>
        <w:t>一是积极开展职业教育各类项目创建工作，努力争取政府支持，加大校企合作的力度，从争取专项资金、政府投入、企业支持等多方面开展工作，不断改善学校的办学条件。二是加强实训基地建设，不断拓宽教学资源开发的渠道，强化教学资源开发团队的建设。三是建议教育主管部门为职业教育教师的培训搭建更多的平台，在教师培训的人员安排上进一步做到统筹安排，同时学校制定更科学的考核激励措施，让更多的教师有参加高层次高规格培训的机会。</w:t>
      </w:r>
      <w:r>
        <w:rPr>
          <w:rFonts w:hint="eastAsia" w:cs="Arial" w:asciiTheme="minorEastAsia" w:hAnsiTheme="minorEastAsia" w:eastAsiaTheme="minorEastAsia"/>
          <w:spacing w:val="-2"/>
          <w:position w:val="-2"/>
          <w:sz w:val="24"/>
          <w:lang w:eastAsia="zh-CN"/>
        </w:rPr>
        <w:t>全面实施提质培优行动计划，把承接的建设项目落实到学校日常工作之中，按时建设方案和任务书完成年度建设任务。</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kern w:val="0"/>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val="0"/>
          <w:bCs w:val="0"/>
          <w:kern w:val="0"/>
          <w:sz w:val="24"/>
          <w:szCs w:val="24"/>
          <w:lang w:val="en-US" w:eastAsia="zh-CN"/>
        </w:rPr>
      </w:pPr>
      <w:r>
        <w:rPr>
          <w:rFonts w:hint="eastAsia" w:ascii="宋体" w:hAnsi="宋体" w:cs="宋体"/>
          <w:b/>
          <w:bCs/>
          <w:kern w:val="0"/>
          <w:sz w:val="24"/>
          <w:szCs w:val="24"/>
          <w:lang w:val="en-US" w:eastAsia="zh-CN"/>
        </w:rPr>
        <w:t>附件：</w:t>
      </w:r>
      <w:r>
        <w:rPr>
          <w:rFonts w:hint="eastAsia" w:ascii="宋体" w:hAnsi="宋体" w:cs="宋体"/>
          <w:b w:val="0"/>
          <w:bCs w:val="0"/>
          <w:kern w:val="0"/>
          <w:sz w:val="24"/>
          <w:szCs w:val="24"/>
          <w:lang w:val="en-US" w:eastAsia="zh-CN"/>
        </w:rPr>
        <w:t>案例1、案例2</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案例1:</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b/>
          <w:sz w:val="28"/>
          <w:szCs w:val="28"/>
          <w:lang w:val="en-US" w:eastAsia="zh-CN"/>
        </w:rPr>
      </w:pPr>
      <w:r>
        <w:rPr>
          <w:rFonts w:hint="eastAsia" w:ascii="宋体" w:hAnsi="宋体"/>
          <w:b/>
          <w:sz w:val="28"/>
          <w:szCs w:val="28"/>
          <w:lang w:val="en-US" w:eastAsia="zh-CN"/>
        </w:rPr>
        <w:t>融合党建聚合力  职业教育谱新篇</w:t>
      </w:r>
    </w:p>
    <w:p>
      <w:pPr>
        <w:keepNext w:val="0"/>
        <w:keepLines w:val="0"/>
        <w:pageBreakBefore w:val="0"/>
        <w:kinsoku/>
        <w:wordWrap/>
        <w:overflowPunct/>
        <w:topLinePunct w:val="0"/>
        <w:autoSpaceDE/>
        <w:autoSpaceDN/>
        <w:bidi w:val="0"/>
        <w:adjustRightInd/>
        <w:snapToGrid/>
        <w:spacing w:line="440" w:lineRule="exact"/>
        <w:ind w:firstLine="3080" w:firstLineChars="1400"/>
        <w:jc w:val="left"/>
        <w:textAlignment w:val="auto"/>
        <w:rPr>
          <w:rFonts w:hint="eastAsia" w:ascii="宋体" w:hAnsi="宋体"/>
          <w:b w:val="0"/>
          <w:bCs/>
          <w:sz w:val="22"/>
          <w:szCs w:val="22"/>
          <w:lang w:val="en-US" w:eastAsia="zh-CN"/>
        </w:rPr>
      </w:pPr>
      <w:r>
        <w:rPr>
          <w:rFonts w:hint="eastAsia" w:ascii="宋体" w:hAnsi="宋体"/>
          <w:b w:val="0"/>
          <w:bCs/>
          <w:sz w:val="22"/>
          <w:szCs w:val="22"/>
          <w:lang w:val="en-US" w:eastAsia="zh-CN"/>
        </w:rPr>
        <w:t>——赤峰第一职业中等专业学校抓党建促发展</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 w:val="0"/>
          <w:bCs/>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职业教育是国民教育体系重要组成部分，肩负着培养多样化人才、传承技术技能、促进就业创业的主要职责。近年来，赤峰第一职业中等专业学校按照全面从严治党的新要求，积极推行“融合党建”模式，牢固树立抓基层党建的鲜明导向，构筑起能够适应市场需要的人才培养机制，使职业教育发展跟上时代步伐，为社会输送更多的能适应市场需求的专业技能人才。</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全面贯彻党的教育方针，坚持正确的办学方向。学校认真贯彻落实党的路线方针政策，坚持正确办学方向，深入开展党史学习教育，从历史中汲取智慧和力量，通过扎实推进党史学习教育，干实事、解难事、谋大事、创新事、长本事。学校遵循职业教育规律，深化产教融合、校企合作，深入推进育人方式、办学模式、管理体制改革。学校坚持“以立德树人为根本，以服务发展为宗旨，以促进就业为导向”的办学思想；突出“发展、稳定”两大主题；做好“学历教育、社会培训、职教改革”三项工作；建设“文明、平安、智慧、书香”四型校园；推进“融合党建、教师队伍、骨干专业、办学能力、育人机制”五大建设。不断改善办学条件，深化产教融合、校企合作，巩固提高国家校园足球特色学校、自治区职业教育改革发展示范学校建设水平，推进实施《职业教育提质培优行动计划（2020—2023年）》，让师资队伍与教学设备形成更强的教学能力。学校已经成为“升学深造有通道、优质就业有保障、专业建设有特色”的国家级重点中等职业学校。</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一、支部建在专业和部门，强化基层党组织建设。</w:t>
      </w:r>
      <w:r>
        <w:rPr>
          <w:rFonts w:hint="eastAsia" w:ascii="宋体" w:hAnsi="宋体"/>
          <w:b w:val="0"/>
          <w:bCs/>
          <w:sz w:val="24"/>
          <w:szCs w:val="24"/>
          <w:lang w:val="en-US" w:eastAsia="zh-CN"/>
        </w:rPr>
        <w:t>赤峰第一职业中等专业学校党委依托教学部门、教辅部门，把支部建在专业上，把“党建+”全方位、全过程贯穿于学校的各项工作中，推动党建工作和业务工作深度融合，推动基层党组织全面进步、全面过硬。以“党建+”为载体，分类别、分层次开展学习教育，领导党员干部讲政治、比带头，任课教师、党员教师讲师德、比育人，后勤职工、党员职工讲奉献、比服务。加强对意识形态工作的统筹协调，把意识形态工作与学校教学教研、专业建设、学生管理和党的建设等工作紧密结合。高度重视思想政治工作，完善思想政治工作体系，不断创新思想政治工作内容和形式。加强中华优秀传统文化教育，弘扬社会主义核心价值观。积极推广国家通用语言文字工作，加强民族团结进步教育，自觉维护民族团结。引导学生增强中国特色社会主义道路、理论、制度、文化自信，教育学生形成正确的世界观、人生观、价值观。</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二、党建融合深化校企校地校校合作，多元协同育人。</w:t>
      </w:r>
      <w:r>
        <w:rPr>
          <w:rFonts w:hint="eastAsia" w:ascii="宋体" w:hAnsi="宋体"/>
          <w:b w:val="0"/>
          <w:bCs/>
          <w:sz w:val="24"/>
          <w:szCs w:val="24"/>
          <w:lang w:val="en-US" w:eastAsia="zh-CN"/>
        </w:rPr>
        <w:t>2019年5月，杜首华校长前往上海参加了学校与上海东湖集团“联合党委”成立大会，签订了“党建融合校企合作协议”，用党建工作统领产教融合、校企合作，推动学校和行业企业形成命运共同体，实现校企合作制度化。按照“做强骨干专业、做优特色专业、改造传统专业、拓展新兴专业”的原则，学校先后与多家大型企业建立紧密的合作关系，签订了“党建融合校企合作协议”，“党建引领、组织相加、工作相融、共建共享、发展共赢”，以党建统领推动校企深度合作。引进海尔智能家电科技有限公司进校，海尔集团投资200万元建设“智能家居”实训基地，共建“物联网技术应用专业”；与红山高新技术产业园区——医药产业园进行合作，共建“制药设备维修”专业；引进赤峰餐饮老字号“内蒙古草原宴宾楼食品有限公司”进校建厂，投资600万元用于实习宾馆装修改造。共建“中餐烹饪和高星级酒店运营与管理”专业；引进北空通用航空科技有限公司进校联合建设无人机实训基地，共建“无人机操控与维护”专业。借助校企合作的平台，校企共同参与人才培养方案修订、课程体系建设、校本教材开发、教学管理、专业技能实训、学生学习质量评价等各个环节，不断优化人才培养方式方法，将职业道德教育、企业文化渗透、技术技能积累融入到教育教学和各个环节，形成联合招生、联合培养、一体化育人的长效机制。学生在校学习3到4个学期后，可到合作单位进行岗位技能培训和实习，学校的专业老师也会参与企业实践，根据市场变化调整专业教学内容。实现了学校与工厂融合、学生与学徒融合、招生与招工融合。校企双元育人，提高了教育质量。</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三、党建引领促师德提升，筑牢教师队伍思想根基。</w:t>
      </w:r>
      <w:r>
        <w:rPr>
          <w:rFonts w:hint="eastAsia" w:ascii="宋体" w:hAnsi="宋体"/>
          <w:b w:val="0"/>
          <w:bCs/>
          <w:sz w:val="24"/>
          <w:szCs w:val="24"/>
          <w:lang w:val="en-US" w:eastAsia="zh-CN"/>
        </w:rPr>
        <w:t>学校严格落实《新时代中小学教师职业行为十项准则》，坚持把师德师风作为评价教师队伍的第一标准，把党的领导贯穿教师队伍建设改革全过程，加强师德建设与党建工作融合，以党建引领促师德提升，筑牢教师队伍政治根基。学校定期举办干部讲堂系列讲座，开展党史学习教育，做到学史明理、学史增信、学史崇德、学史力行。通过学“四史”、正师风、立师德、铸师魂。以学生成长的成功案例、与家长相处的感动事例、与同事共事的暖心行动引领全体教师践行正确的师德师风。学校精心打造“双师”素质的优秀教学团队，建立优秀教师成长绿色通道和激励机制，实施新入职教师与老教师结对帮扶，选派中青年教师分别到内蒙古电子信息职业技术学院、天津中德应用技术大学等师资培训基地，参加了全国职业院校素质提升项目培训等，提升教师职业道德修养和教书育人本领，为学校健康持续发展作出更大贡献。每年9月设为教师职业理想职业道德主题教育月，评选表彰师德标兵、优秀班主任、优秀教师、名教师，选树先进典型，引导广大教师争做“四有好老师”“四个引路人”。学校现有自治区级优秀教师和教学能手6人；自治区级专业带头人3人，市级骨干教师、学科带头人、教学能手47人；赤峰市和红山区名教师11人；中国烹饪大师、高级技师、营养师、培训师、美工设计师等“双师型”教师48人。良好的师德带动形成良好教风，党员教师主动承担班主任、学生管理、技能大赛指导等重要任务，与专业发展、学校发展同呼吸共命运。学前教育专业教师参与北师大出版社“十三五”规划教材《幼儿绘本设计制作与应用》的编写工作，多名教师参加内蒙古自治区、全国教师教学能力大赛并获奖，教师指导学生参加自治区级职业院校技能大赛，获一等奖38人次；参加全国职业院校技能大赛中职组比赛获二等奖2人次、三等奖7人次。</w:t>
      </w: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val="0"/>
          <w:bCs/>
          <w:sz w:val="24"/>
          <w:szCs w:val="24"/>
          <w:lang w:val="en-US" w:eastAsia="zh-CN"/>
        </w:rPr>
      </w:pPr>
      <w:r>
        <w:rPr>
          <w:rFonts w:hint="eastAsia" w:ascii="宋体" w:hAnsi="宋体"/>
          <w:b/>
          <w:bCs w:val="0"/>
          <w:sz w:val="24"/>
          <w:szCs w:val="24"/>
          <w:lang w:val="en-US" w:eastAsia="zh-CN"/>
        </w:rPr>
        <w:t>四、弘扬中华优秀传统文化，建设书香校园。</w:t>
      </w:r>
      <w:r>
        <w:rPr>
          <w:rFonts w:hint="eastAsia" w:ascii="宋体" w:hAnsi="宋体"/>
          <w:b w:val="0"/>
          <w:bCs/>
          <w:sz w:val="24"/>
          <w:szCs w:val="24"/>
          <w:lang w:val="en-US" w:eastAsia="zh-CN"/>
        </w:rPr>
        <w:t>2020年学校把“书香校园”建设列入年度重点工作，通过弘扬中华优秀传统文化，培育先进校园文化，提炼传承学校精神，以德育人，以文化人。学校进行了全方位的文化建设，办公楼内悬挂名人书画，教学主楼外平台建了党建文化长廊，三楼到八楼楼梯通道两侧设有书香名言、习语用典展示、新时代文明实践示范点书吧、电子阅读机等，从文字书画到装饰，从传统纸质书籍到智能化电子书籍，校园环境与读书文化相融合，书香弥漫学生身边的每一个角落。学校每年举办全校师生参与的朗读者大型活动，用最美的声音诵读文学经典。每年在孔子诞辰日开展教师读书分享活动，带领学生学习中华传统文学。在师生中连续开展“最是书香能致远”好书推荐活动，以录制视频的形式，把好书的内容、最喜爱的部分、对自我的影响等方面分享给大家，引领身边的老师和同学加入到读书的行列中来，共读好书，共同学习，一起成长！此外，我们印制了校本教材《大学 劝学》，利用早读、晨会、课前、语文课的时间，学习感悟国学经典中蕴含的力量，不断提升文化品德修养。在疫情还未结束这一特殊时期，学前教育专业认真安排部署，积极制定活动方案，进行了一场“同心战疫情，书香伴我行”的线上读书活动。历时一个多月，以年级为单位，先后开展“教师倡读”“书签设计比赛”“经典诗词吟诵比赛”“读书心得征文评比”“书香家庭故事征集”等一系列主题活动，每一项活动学生积极参与。学前教育专业举办了线下颁奖仪式，并评选出“最美分享者”“最美书香家庭”等奖项。本次读书系列活动通过线下线上的互动形式，以专业为主导，家庭为主体的活动模式。通过读书活动，激发了学生和家长的读书热情，丰富了学生和家长的精神世界，实现了小手拉动大手、家校共同育人、大家一起成长。</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b w:val="0"/>
          <w:bCs/>
          <w:sz w:val="24"/>
          <w:szCs w:val="24"/>
          <w:lang w:val="en-US"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b/>
          <w:sz w:val="24"/>
          <w:szCs w:val="24"/>
          <w:lang w:val="en-US" w:eastAsia="zh-CN"/>
        </w:rPr>
      </w:pPr>
      <w:r>
        <w:rPr>
          <w:rFonts w:hint="eastAsia" w:ascii="宋体" w:hAnsi="宋体"/>
          <w:b/>
          <w:sz w:val="24"/>
          <w:szCs w:val="24"/>
          <w:lang w:val="en-US" w:eastAsia="zh-CN"/>
        </w:rPr>
        <w:t>案例2</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b/>
          <w:sz w:val="28"/>
          <w:szCs w:val="28"/>
        </w:rPr>
      </w:pPr>
      <w:r>
        <w:rPr>
          <w:rFonts w:hint="eastAsia" w:ascii="宋体" w:hAnsi="宋体"/>
          <w:b/>
          <w:sz w:val="28"/>
          <w:szCs w:val="28"/>
          <w:lang w:eastAsia="zh-CN"/>
        </w:rPr>
        <w:t>立德树人</w:t>
      </w:r>
      <w:r>
        <w:rPr>
          <w:rFonts w:hint="eastAsia" w:ascii="宋体" w:hAnsi="宋体"/>
          <w:b/>
          <w:sz w:val="28"/>
          <w:szCs w:val="28"/>
          <w:lang w:val="en-US" w:eastAsia="zh-CN"/>
        </w:rPr>
        <w:t xml:space="preserve"> </w:t>
      </w:r>
      <w:r>
        <w:rPr>
          <w:rFonts w:hint="eastAsia" w:ascii="宋体" w:hAnsi="宋体"/>
          <w:b/>
          <w:sz w:val="28"/>
          <w:szCs w:val="28"/>
        </w:rPr>
        <w:t>让教育回归本真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hint="eastAsia" w:cs="Arial" w:asciiTheme="majorEastAsia" w:hAnsiTheme="majorEastAsia" w:eastAsiaTheme="majorEastAsia"/>
          <w:b/>
          <w:bCs/>
          <w:spacing w:val="-2"/>
          <w:position w:val="-2"/>
          <w:sz w:val="24"/>
          <w:lang w:eastAsia="zh-CN"/>
        </w:rPr>
      </w:pPr>
      <w:bookmarkStart w:id="0" w:name="_Toc18244"/>
      <w:bookmarkStart w:id="1" w:name="_Toc5159"/>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cs="Arial" w:asciiTheme="majorEastAsia" w:hAnsiTheme="majorEastAsia" w:eastAsiaTheme="majorEastAsia"/>
          <w:spacing w:val="-2"/>
          <w:position w:val="-2"/>
          <w:sz w:val="24"/>
          <w:lang w:val="en-US" w:eastAsia="zh-CN"/>
        </w:rPr>
      </w:pPr>
      <w:r>
        <w:rPr>
          <w:rFonts w:hint="eastAsia" w:ascii="宋体" w:hAnsi="宋体"/>
          <w:bCs/>
          <w:sz w:val="24"/>
          <w:szCs w:val="24"/>
        </w:rPr>
        <w:t>职业教育在培养学生技能的同时应重视塑造学生良好的品德与思想，使其在步入社会后得到用人单位的认可并发挥出自身的潜能，体现出自身的价值。这不仅有助于促进</w:t>
      </w:r>
      <w:r>
        <w:rPr>
          <w:rFonts w:hint="eastAsia" w:ascii="宋体" w:hAnsi="宋体"/>
          <w:bCs/>
          <w:sz w:val="24"/>
          <w:szCs w:val="24"/>
          <w:lang w:eastAsia="zh-CN"/>
        </w:rPr>
        <w:t>学生的</w:t>
      </w:r>
      <w:r>
        <w:rPr>
          <w:rFonts w:hint="eastAsia" w:ascii="宋体" w:hAnsi="宋体"/>
          <w:bCs/>
          <w:sz w:val="24"/>
          <w:szCs w:val="24"/>
        </w:rPr>
        <w:t>发展，同时也能满足现代社会对</w:t>
      </w:r>
      <w:r>
        <w:rPr>
          <w:rFonts w:hint="eastAsia" w:ascii="宋体" w:hAnsi="宋体"/>
          <w:bCs/>
          <w:sz w:val="24"/>
          <w:szCs w:val="24"/>
          <w:lang w:eastAsia="zh-CN"/>
        </w:rPr>
        <w:t>高素质</w:t>
      </w:r>
      <w:r>
        <w:rPr>
          <w:rFonts w:hint="eastAsia" w:ascii="宋体" w:hAnsi="宋体"/>
          <w:bCs/>
          <w:sz w:val="24"/>
          <w:szCs w:val="24"/>
        </w:rPr>
        <w:t>专业技能人才的需求。学校</w:t>
      </w:r>
      <w:bookmarkEnd w:id="0"/>
      <w:bookmarkEnd w:id="1"/>
      <w:r>
        <w:rPr>
          <w:rFonts w:hint="eastAsia" w:ascii="宋体" w:hAnsi="宋体"/>
          <w:bCs/>
          <w:sz w:val="24"/>
          <w:szCs w:val="24"/>
          <w:lang w:eastAsia="zh-CN"/>
        </w:rPr>
        <w:t>以</w:t>
      </w:r>
      <w:r>
        <w:rPr>
          <w:rFonts w:hint="eastAsia" w:cs="Arial" w:asciiTheme="majorEastAsia" w:hAnsiTheme="majorEastAsia" w:eastAsiaTheme="majorEastAsia"/>
          <w:spacing w:val="-2"/>
          <w:position w:val="-2"/>
          <w:sz w:val="24"/>
        </w:rPr>
        <w:t>“立德树人，服务学生”为先导，着力构建学校“三全育人”工作模式</w:t>
      </w:r>
      <w:r>
        <w:rPr>
          <w:rFonts w:hint="eastAsia" w:cs="Arial" w:asciiTheme="majorEastAsia" w:hAnsiTheme="majorEastAsia" w:eastAsiaTheme="majorEastAsia"/>
          <w:spacing w:val="-2"/>
          <w:position w:val="-2"/>
          <w:sz w:val="24"/>
          <w:lang w:eastAsia="zh-CN"/>
        </w:rPr>
        <w:t>，不断完善学校德育管理体系和学生培养模式，增强了德育工作针对性和实效性，学生的思想和行为在向好的方向发展，立德树人，让教育回归本真。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4" w:firstLineChars="200"/>
        <w:textAlignment w:val="auto"/>
        <w:rPr>
          <w:rFonts w:hint="eastAsia" w:cs="Arial" w:asciiTheme="majorEastAsia" w:hAnsiTheme="majorEastAsia" w:eastAsiaTheme="majorEastAsia"/>
          <w:spacing w:val="-2"/>
          <w:position w:val="-2"/>
          <w:sz w:val="24"/>
          <w:lang w:val="en-US" w:eastAsia="zh-CN"/>
        </w:rPr>
      </w:pPr>
      <w:bookmarkStart w:id="2" w:name="_Toc22781"/>
      <w:r>
        <w:rPr>
          <w:rFonts w:hint="eastAsia" w:cs="Arial" w:asciiTheme="majorEastAsia" w:hAnsiTheme="majorEastAsia" w:eastAsiaTheme="majorEastAsia"/>
          <w:b/>
          <w:bCs/>
          <w:spacing w:val="-2"/>
          <w:position w:val="-2"/>
          <w:sz w:val="24"/>
          <w:lang w:val="en-US" w:eastAsia="zh-CN"/>
        </w:rPr>
        <w:t>一、立德树人，服务学生”为先导，着力构建学校“三全育人”工作模式</w:t>
      </w:r>
      <w:bookmarkEnd w:id="2"/>
      <w:r>
        <w:rPr>
          <w:rFonts w:hint="eastAsia" w:cs="Arial" w:asciiTheme="majorEastAsia" w:hAnsiTheme="majorEastAsia" w:eastAsiaTheme="majorEastAsia"/>
          <w:b/>
          <w:bCs/>
          <w:spacing w:val="-2"/>
          <w:position w:val="-2"/>
          <w:sz w:val="24"/>
          <w:lang w:val="en-US" w:eastAsia="zh-CN"/>
        </w:rPr>
        <w:t>。</w:t>
      </w:r>
      <w:r>
        <w:rPr>
          <w:rFonts w:hint="eastAsia" w:cs="Arial" w:asciiTheme="majorEastAsia" w:hAnsiTheme="majorEastAsia" w:eastAsiaTheme="majorEastAsia"/>
          <w:spacing w:val="-2"/>
          <w:position w:val="-2"/>
          <w:sz w:val="24"/>
          <w:lang w:val="en-US" w:eastAsia="zh-CN"/>
        </w:rPr>
        <w:t>学校通过健全“思政课程+课程思政”课程体系、打造名班主任工作室、推进传统文化育人、优化德育管理育人、提升心理辅导成效、扩大资助育人宣传、统筹各方面育人资源和育人力量等方面的建设，进一步完善学校“十大育人”工作体系，将社会主义核心价值观教育贯穿人才培养全过程。从而有效落实立德树人根本任务。为学生打造一个全员参与、全过程管理、全方位实施的积极健康的校园育人环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72" w:firstLineChars="200"/>
        <w:textAlignment w:val="auto"/>
        <w:rPr>
          <w:rFonts w:hint="eastAsia" w:asciiTheme="minorEastAsia" w:hAnsiTheme="minorEastAsia" w:eastAsiaTheme="minorEastAsia" w:cstheme="minorEastAsia"/>
          <w:b w:val="0"/>
          <w:bCs w:val="0"/>
          <w:kern w:val="2"/>
          <w:sz w:val="24"/>
          <w:szCs w:val="24"/>
          <w:lang w:val="en-US" w:eastAsia="zh-CN" w:bidi="ar-SA"/>
        </w:rPr>
      </w:pPr>
      <w:bookmarkStart w:id="3" w:name="_Toc5142"/>
      <w:r>
        <w:rPr>
          <w:rFonts w:hint="eastAsia" w:cs="Arial" w:asciiTheme="majorEastAsia" w:hAnsiTheme="majorEastAsia" w:eastAsiaTheme="majorEastAsia"/>
          <w:spacing w:val="-2"/>
          <w:position w:val="-2"/>
          <w:sz w:val="24"/>
          <w:lang w:val="en-US" w:eastAsia="zh-CN"/>
        </w:rPr>
        <w:t>完善学校德育管理体系，加强班主任队伍建设和班团干部培养，提高德育管理实效性。</w:t>
      </w:r>
      <w:bookmarkEnd w:id="3"/>
      <w:r>
        <w:rPr>
          <w:rFonts w:hint="eastAsia" w:asciiTheme="minorEastAsia" w:hAnsiTheme="minorEastAsia" w:eastAsiaTheme="minorEastAsia" w:cstheme="minorEastAsia"/>
          <w:b w:val="0"/>
          <w:bCs w:val="0"/>
          <w:kern w:val="2"/>
          <w:sz w:val="24"/>
          <w:szCs w:val="24"/>
          <w:lang w:val="en-US" w:eastAsia="zh-CN" w:bidi="ar-SA"/>
        </w:rPr>
        <w:t>学校建立和完善了学校德育管理体系，构建德育主任——班主任——任课教师——宿管人员——家长委员会——学生事务中心为一体的专业德育管理框架，提高管理实效，促进学生成长。通过德育干部培训会议、月总结会议、班主任培训、班团干部培训等方面来打造高素质的德育队伍。学生干部参与学校、专业、班级的管理工作，不仅起到传帮带作用，同时提高了自身的榜样力量和责任感，学生的自我管理能力也在逐步加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val="0"/>
          <w:bCs w:val="0"/>
          <w:kern w:val="2"/>
          <w:sz w:val="24"/>
          <w:szCs w:val="24"/>
          <w:lang w:val="en-US" w:eastAsia="zh-CN" w:bidi="ar-SA"/>
        </w:rPr>
      </w:pPr>
      <w:bookmarkStart w:id="4" w:name="_Toc25009"/>
      <w:r>
        <w:rPr>
          <w:rFonts w:hint="eastAsia" w:asciiTheme="minorEastAsia" w:hAnsiTheme="minorEastAsia" w:eastAsiaTheme="minorEastAsia" w:cstheme="minorEastAsia"/>
          <w:b/>
          <w:bCs/>
          <w:kern w:val="2"/>
          <w:sz w:val="24"/>
          <w:szCs w:val="24"/>
          <w:lang w:val="en-US" w:eastAsia="zh-CN" w:bidi="ar-SA"/>
        </w:rPr>
        <w:t>二、以国学文化为引领，将非遗文化引进校园，真正做到以文化人，以德育人。</w:t>
      </w:r>
      <w:bookmarkEnd w:id="4"/>
      <w:r>
        <w:rPr>
          <w:rFonts w:hint="eastAsia" w:asciiTheme="minorEastAsia" w:hAnsiTheme="minorEastAsia" w:eastAsiaTheme="minorEastAsia" w:cstheme="minorEastAsia"/>
          <w:b w:val="0"/>
          <w:bCs w:val="0"/>
          <w:kern w:val="2"/>
          <w:sz w:val="24"/>
          <w:szCs w:val="24"/>
          <w:lang w:val="en-US" w:eastAsia="zh-CN" w:bidi="ar-SA"/>
        </w:rPr>
        <w:t>学校印发《大学·劝学篇》校本教材，通过语文教师课上主讲、学生课下自读自学、业余时间开展诵读经典活动等多种方式，使学生了解国学文化，喜爱中国传统文化；学校把非物质文化遗产“胡笳”“筚篥”引进校园，邀请国家二级演奏员、胡笳筚篥制作技艺传承人敖金生老师演奏对学生进行胡笳筚篥基本知识和演奏技巧、乐器的实践运用的培训。提高学生对民族文化的认知，积极参与到传承民族文化的行动中来。让“非遗”薪火相传，让“非遗”重焕生机，成为一道靓丽的民族文化风景线！学校通过丰富校园文化建设，在展廊、橱窗、雕塑中体现学校文化内涵，用校风校训、一职精神作为师生共同的精神纲领，在潜移默化中“育人”“育心”“育情”。</w:t>
      </w:r>
      <w:bookmarkStart w:id="5" w:name="_Toc13853"/>
      <w:r>
        <w:rPr>
          <w:rFonts w:hint="eastAsia" w:asciiTheme="minorEastAsia" w:hAnsiTheme="minorEastAsia" w:eastAsiaTheme="minorEastAsia" w:cstheme="minorEastAsia"/>
          <w:b w:val="0"/>
          <w:bCs w:val="0"/>
          <w:kern w:val="2"/>
          <w:sz w:val="24"/>
          <w:szCs w:val="24"/>
          <w:lang w:val="en-US" w:eastAsia="zh-CN" w:bidi="ar-SA"/>
        </w:rPr>
        <w:t>开展课前三分钟德育分享活动。</w:t>
      </w:r>
      <w:bookmarkEnd w:id="5"/>
      <w:r>
        <w:rPr>
          <w:rFonts w:hint="eastAsia" w:asciiTheme="minorEastAsia" w:hAnsiTheme="minorEastAsia" w:eastAsiaTheme="minorEastAsia" w:cstheme="minorEastAsia"/>
          <w:b w:val="0"/>
          <w:bCs w:val="0"/>
          <w:kern w:val="2"/>
          <w:sz w:val="24"/>
          <w:szCs w:val="24"/>
          <w:lang w:val="en-US" w:eastAsia="zh-CN" w:bidi="ar-SA"/>
        </w:rPr>
        <w:t>每位任课教师上课前，进行名人故事、时事热点、灵成长等内容的分享，谈感受，说意义，引导学生形成正确的价值观。并且在课堂教学中，结合课本知识，注重德育的渗透、提炼与升华，真正做到人人都是德育工作者。班主任利用“亚卓德育教育”网络平台里的素材库和视频，召开德育课、微班会、主题班会，把育人职责贯彻到所有教育行为上，真正做到全员参与育人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val="0"/>
          <w:bCs/>
          <w:kern w:val="2"/>
          <w:sz w:val="24"/>
          <w:szCs w:val="24"/>
          <w:lang w:val="en-US" w:eastAsia="zh-CN" w:bidi="ar-SA"/>
        </w:rPr>
      </w:pPr>
      <w:bookmarkStart w:id="6" w:name="_Toc4942"/>
      <w:r>
        <w:rPr>
          <w:rFonts w:hint="eastAsia" w:asciiTheme="minorEastAsia" w:hAnsiTheme="minorEastAsia" w:eastAsiaTheme="minorEastAsia" w:cstheme="minorEastAsia"/>
          <w:b/>
          <w:bCs/>
          <w:kern w:val="2"/>
          <w:sz w:val="24"/>
          <w:szCs w:val="24"/>
          <w:lang w:val="en-US" w:eastAsia="zh-CN" w:bidi="ar-SA"/>
        </w:rPr>
        <w:t>三、让“教育因活动而精彩”，真正做到活动育人。</w:t>
      </w:r>
      <w:bookmarkEnd w:id="6"/>
      <w:r>
        <w:rPr>
          <w:rFonts w:hint="eastAsia" w:asciiTheme="minorEastAsia" w:hAnsiTheme="minorEastAsia" w:eastAsiaTheme="minorEastAsia" w:cstheme="minorEastAsia"/>
          <w:b w:val="0"/>
          <w:bCs w:val="0"/>
          <w:kern w:val="2"/>
          <w:sz w:val="24"/>
          <w:szCs w:val="24"/>
          <w:lang w:val="en-US" w:eastAsia="zh-CN" w:bidi="ar-SA"/>
        </w:rPr>
        <w:t>三年来，学校开展了多种多样、内容新颖符合中职生特点的文明风采活动。每月一主题，学校活动、专业活动、班级活动相辅相成，支撑配合。有充满仪式的活动，如升旗仪式、开学典礼、毕业典礼、成人礼、入团宣誓等；有陶冶情操、锻炼身体的文体类活动，积极引导青少年铭记革命历史、继承革命传统，争做担当民族复兴大任的时代新人。</w:t>
      </w:r>
      <w:r>
        <w:rPr>
          <w:rFonts w:hint="eastAsia" w:asciiTheme="minorEastAsia" w:hAnsiTheme="minorEastAsia" w:eastAsiaTheme="minorEastAsia" w:cstheme="minorEastAsia"/>
          <w:b w:val="0"/>
          <w:bCs/>
          <w:kern w:val="2"/>
          <w:sz w:val="24"/>
          <w:szCs w:val="24"/>
          <w:lang w:val="en-US" w:eastAsia="zh-CN" w:bidi="ar-SA"/>
        </w:rPr>
        <w:t>通过丰富多彩的文明风采活动，营造“人人皆可成才、人人尽展其才”的良好环境，弘扬“劳动光荣、技能宝贵、创造伟大”的时代风尚，以赛促教、以赛促学，不断提高学生思想道德素质和综合素养，促进学生在活动中全面发展、健康成长。</w:t>
      </w:r>
      <w:bookmarkStart w:id="7" w:name="_Toc956"/>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四、以创建书香校园为契机，培养师生终身学习能力。</w:t>
      </w:r>
      <w:r>
        <w:rPr>
          <w:rFonts w:hint="eastAsia" w:asciiTheme="minorEastAsia" w:hAnsiTheme="minorEastAsia" w:eastAsiaTheme="minorEastAsia" w:cstheme="minorEastAsia"/>
          <w:b w:val="0"/>
          <w:bCs/>
          <w:kern w:val="2"/>
          <w:sz w:val="24"/>
          <w:szCs w:val="24"/>
          <w:lang w:val="en-US" w:eastAsia="zh-CN" w:bidi="ar-SA"/>
        </w:rPr>
        <w:t>学校将书香校园建设纳入学校长期发展规划，成立了以党委书记、校长为组长的书香校园建设领导小组，层层成立书香校园建设推动小组和不同层面的读书成长班。全方位进行书香环境建设，图书馆、专业、办公室、班级设立读书角，供师生借阅和读书。领导班子成员、语文教师、专业主任、学科教师、学生代表分别进行读书分享，倡导全校师生多读好书。通过举办读书沙龙、朗诵者活动、学习《大学 劝学》、小手拉大手共读一本书等活动，营造文化育人环境、培养终身学习能力，充分挖掘各方面的文化引领力量，丰富读书内容，灵活读书形式，以文育人，以文化人，增加师生文化自信。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五、以家长学校为抓手，构建家校互动新平台，续写家校共同育人新篇章。</w:t>
      </w:r>
      <w:bookmarkEnd w:id="7"/>
      <w:r>
        <w:rPr>
          <w:rFonts w:hint="eastAsia" w:asciiTheme="minorEastAsia" w:hAnsiTheme="minorEastAsia" w:eastAsiaTheme="minorEastAsia" w:cstheme="minorEastAsia"/>
          <w:b w:val="0"/>
          <w:bCs/>
          <w:kern w:val="2"/>
          <w:sz w:val="24"/>
          <w:szCs w:val="24"/>
          <w:lang w:val="en-US" w:eastAsia="zh-CN" w:bidi="ar-SA"/>
        </w:rPr>
        <w:t>学校一直注重与家长沟通配合，共同承担育人职责。让家长走进校园和课堂，参加孩子的毕业典礼、迎新拜师会，让家长了解职业教育，了解学校的教育管理，了解专业教学，见证三年中职学校学习给孩子带来的变化。老师与家长一起为学生做人生规划，帮助家长为孩子正确选择专业学习方向、升学方向。通过创新家长会、家长微信课堂、班主任每周寄语等活动，加强家校互动的紧密联系，引导家长重视家庭教育，注重教育的科学性、合理性，使家校“互补”，形成教育合力，共同教育学生，促进学生成长，实现家庭和学校教育的“双赢”。</w:t>
      </w:r>
      <w:bookmarkStart w:id="8" w:name="_Toc3733"/>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六、加强心理健康教育，培养学生良好心理素质。</w:t>
      </w:r>
      <w:bookmarkEnd w:id="8"/>
      <w:r>
        <w:rPr>
          <w:rFonts w:hint="eastAsia" w:asciiTheme="minorEastAsia" w:hAnsiTheme="minorEastAsia" w:eastAsiaTheme="minorEastAsia" w:cstheme="minorEastAsia"/>
          <w:b w:val="0"/>
          <w:bCs/>
          <w:kern w:val="2"/>
          <w:sz w:val="24"/>
          <w:szCs w:val="24"/>
          <w:lang w:val="en-US" w:eastAsia="zh-CN" w:bidi="ar-SA"/>
        </w:rPr>
        <w:t>健康的心理有利于学生自身成长，同时也是社会发展对人的素质要求的需要。一个心理健康的人，朝气蓬勃，开朗乐观，学习和工作有动力，效率高。健康积极的心理对于职业学校的学生尤为重要，他们需要树立奋斗目标，需要自信微笑地面对挑战，也需要不断的克服困难和挫折，需要不断的调整自己的职业规划，需要在远离父母家乡时忘掉焦虑，从而更好的成就自己。这些目标、情绪和困难都必须拥有一个健康的心理才能对待。学校开设心理健康课、组建心理健康中心，开展心理测试，建立学生电子心理健康档案。加强班主任培训，提高班主任心理健康水平。开办学生、老师、家长不同层面的心理健康讲座，提升学生与老师、学生与父母之间的良好沟通效果，消除障碍问题。开展个体咨询，缓解强烈心理冲突，培养健康心理。进行团体辅导。建立心理俱乐部，提供交流沟通的平台。在学生毕业实习前，经对比测试，学生心理健康状况获得明显改善。</w:t>
      </w:r>
    </w:p>
    <w:p>
      <w:pPr>
        <w:widowControl/>
        <w:shd w:val="clear" w:color="auto" w:fill="FFFFFF"/>
        <w:spacing w:line="440" w:lineRule="exact"/>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学校通过多年的德育特色建设，尤其是近一年的建设，拥有了一支专业水平、综合素质较高，具有良好职业道德和敬业精神的专业教师团队。在德育建设中积累了丰富的经验，学校努力把德育工作切实落实到各种教育环节中，把“三全育人”工作落细、落小、落实，以学校、学生为主体，联合社会、企业，通过学校教育、校企合作、社会体验等途径，完成了学生德育培养。坚持用“立德树人”根本任务为主线，促进学校内涵、高质量发展。</w:t>
      </w:r>
    </w:p>
    <w:sectPr>
      <w:footerReference r:id="rId4" w:type="default"/>
      <w:pgSz w:w="11906" w:h="16838"/>
      <w:pgMar w:top="1474" w:right="1418" w:bottom="147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752782"/>
    </w:sdtPr>
    <w:sdtEndPr>
      <w:rPr>
        <w:sz w:val="24"/>
      </w:rPr>
    </w:sdtEndPr>
    <w:sdtContent>
      <w:p>
        <w:pPr>
          <w:pStyle w:val="7"/>
          <w:jc w:val="right"/>
          <w:rPr>
            <w:sz w:val="24"/>
          </w:rPr>
        </w:pPr>
        <w:r>
          <w:rPr>
            <w:sz w:val="24"/>
          </w:rPr>
          <w:fldChar w:fldCharType="begin"/>
        </w:r>
        <w:r>
          <w:rPr>
            <w:sz w:val="24"/>
          </w:rPr>
          <w:instrText xml:space="preserve">PAGE   \* MERGEFORMAT</w:instrText>
        </w:r>
        <w:r>
          <w:rPr>
            <w:sz w:val="24"/>
          </w:rPr>
          <w:fldChar w:fldCharType="separate"/>
        </w:r>
        <w:r>
          <w:rPr>
            <w:sz w:val="24"/>
            <w:lang w:val="zh-CN"/>
          </w:rPr>
          <w:t>1</w:t>
        </w:r>
        <w:r>
          <w:rPr>
            <w:sz w:val="24"/>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NmJiY2ZjNDQ3YWY5ZGVjMzYxMmY2MWJhNmE3MGIifQ=="/>
  </w:docVars>
  <w:rsids>
    <w:rsidRoot w:val="00172A27"/>
    <w:rsid w:val="00004AAF"/>
    <w:rsid w:val="00031D4E"/>
    <w:rsid w:val="000358A1"/>
    <w:rsid w:val="000404D9"/>
    <w:rsid w:val="00043402"/>
    <w:rsid w:val="0004456F"/>
    <w:rsid w:val="000546D7"/>
    <w:rsid w:val="00077674"/>
    <w:rsid w:val="000839AF"/>
    <w:rsid w:val="00091FF1"/>
    <w:rsid w:val="000973FE"/>
    <w:rsid w:val="000B09F2"/>
    <w:rsid w:val="000B70E5"/>
    <w:rsid w:val="000C0F43"/>
    <w:rsid w:val="000D06E8"/>
    <w:rsid w:val="000D2FF9"/>
    <w:rsid w:val="000F21FA"/>
    <w:rsid w:val="00104F2D"/>
    <w:rsid w:val="00115C38"/>
    <w:rsid w:val="00116722"/>
    <w:rsid w:val="001308EF"/>
    <w:rsid w:val="00155B6C"/>
    <w:rsid w:val="001605B6"/>
    <w:rsid w:val="001B66E3"/>
    <w:rsid w:val="001B7B15"/>
    <w:rsid w:val="001C6C7B"/>
    <w:rsid w:val="001C716A"/>
    <w:rsid w:val="001F04D8"/>
    <w:rsid w:val="00200C57"/>
    <w:rsid w:val="002027F8"/>
    <w:rsid w:val="00231570"/>
    <w:rsid w:val="00281380"/>
    <w:rsid w:val="002859B3"/>
    <w:rsid w:val="002A7EA7"/>
    <w:rsid w:val="002C3E12"/>
    <w:rsid w:val="002C4667"/>
    <w:rsid w:val="002D29DF"/>
    <w:rsid w:val="002D5794"/>
    <w:rsid w:val="002E14D6"/>
    <w:rsid w:val="002E639E"/>
    <w:rsid w:val="002F0C45"/>
    <w:rsid w:val="00321A1B"/>
    <w:rsid w:val="00356214"/>
    <w:rsid w:val="00374E79"/>
    <w:rsid w:val="00377525"/>
    <w:rsid w:val="003A06C9"/>
    <w:rsid w:val="003A3C62"/>
    <w:rsid w:val="003A499A"/>
    <w:rsid w:val="003E4444"/>
    <w:rsid w:val="0040436D"/>
    <w:rsid w:val="00404CFE"/>
    <w:rsid w:val="00405BDB"/>
    <w:rsid w:val="00416141"/>
    <w:rsid w:val="00421787"/>
    <w:rsid w:val="0042371F"/>
    <w:rsid w:val="004237D4"/>
    <w:rsid w:val="00424D5D"/>
    <w:rsid w:val="004316CC"/>
    <w:rsid w:val="0045399D"/>
    <w:rsid w:val="00481E44"/>
    <w:rsid w:val="00484D39"/>
    <w:rsid w:val="00493114"/>
    <w:rsid w:val="00495AD1"/>
    <w:rsid w:val="004A2EE0"/>
    <w:rsid w:val="004C3D46"/>
    <w:rsid w:val="004C7A26"/>
    <w:rsid w:val="005146AD"/>
    <w:rsid w:val="005317F3"/>
    <w:rsid w:val="005477DE"/>
    <w:rsid w:val="00573C2C"/>
    <w:rsid w:val="00593EB7"/>
    <w:rsid w:val="005B79FB"/>
    <w:rsid w:val="005C4418"/>
    <w:rsid w:val="005C530D"/>
    <w:rsid w:val="005E0BC9"/>
    <w:rsid w:val="005E70B1"/>
    <w:rsid w:val="005F435C"/>
    <w:rsid w:val="0060485D"/>
    <w:rsid w:val="00605BAB"/>
    <w:rsid w:val="0060774E"/>
    <w:rsid w:val="00617FDD"/>
    <w:rsid w:val="006256F7"/>
    <w:rsid w:val="0062709F"/>
    <w:rsid w:val="00644B04"/>
    <w:rsid w:val="006631E4"/>
    <w:rsid w:val="00682ACB"/>
    <w:rsid w:val="006830B1"/>
    <w:rsid w:val="006902CB"/>
    <w:rsid w:val="006A0C5B"/>
    <w:rsid w:val="006A6D6B"/>
    <w:rsid w:val="006C2ED3"/>
    <w:rsid w:val="006E3F19"/>
    <w:rsid w:val="006F473E"/>
    <w:rsid w:val="006F63D1"/>
    <w:rsid w:val="007269A1"/>
    <w:rsid w:val="00740828"/>
    <w:rsid w:val="00740E19"/>
    <w:rsid w:val="007926CE"/>
    <w:rsid w:val="0079558E"/>
    <w:rsid w:val="007A378D"/>
    <w:rsid w:val="007A54A2"/>
    <w:rsid w:val="007A54D2"/>
    <w:rsid w:val="007A5B47"/>
    <w:rsid w:val="007A65C5"/>
    <w:rsid w:val="007F3D5B"/>
    <w:rsid w:val="007F7C4A"/>
    <w:rsid w:val="00806A3C"/>
    <w:rsid w:val="00830BEF"/>
    <w:rsid w:val="0085275A"/>
    <w:rsid w:val="00867F9D"/>
    <w:rsid w:val="0087531A"/>
    <w:rsid w:val="00887023"/>
    <w:rsid w:val="008A7AA2"/>
    <w:rsid w:val="008B26A7"/>
    <w:rsid w:val="008B739C"/>
    <w:rsid w:val="008B7CEF"/>
    <w:rsid w:val="008D3E3D"/>
    <w:rsid w:val="008E1DA3"/>
    <w:rsid w:val="008E24EC"/>
    <w:rsid w:val="008E4968"/>
    <w:rsid w:val="008E7CCF"/>
    <w:rsid w:val="008F521C"/>
    <w:rsid w:val="008F52CC"/>
    <w:rsid w:val="00900068"/>
    <w:rsid w:val="00901A95"/>
    <w:rsid w:val="009136D1"/>
    <w:rsid w:val="00920ABD"/>
    <w:rsid w:val="009243A3"/>
    <w:rsid w:val="00925A19"/>
    <w:rsid w:val="00931B57"/>
    <w:rsid w:val="00936435"/>
    <w:rsid w:val="00940A7B"/>
    <w:rsid w:val="00945454"/>
    <w:rsid w:val="009550E9"/>
    <w:rsid w:val="0095596C"/>
    <w:rsid w:val="0097439C"/>
    <w:rsid w:val="00987646"/>
    <w:rsid w:val="009C7D8A"/>
    <w:rsid w:val="009E5F54"/>
    <w:rsid w:val="009E77C3"/>
    <w:rsid w:val="009F2048"/>
    <w:rsid w:val="00A04EC6"/>
    <w:rsid w:val="00A1252F"/>
    <w:rsid w:val="00A24C26"/>
    <w:rsid w:val="00A50570"/>
    <w:rsid w:val="00A6033E"/>
    <w:rsid w:val="00A82F40"/>
    <w:rsid w:val="00A87C03"/>
    <w:rsid w:val="00A94AE6"/>
    <w:rsid w:val="00AA4836"/>
    <w:rsid w:val="00AA527C"/>
    <w:rsid w:val="00AA684E"/>
    <w:rsid w:val="00AF2886"/>
    <w:rsid w:val="00B00496"/>
    <w:rsid w:val="00B02569"/>
    <w:rsid w:val="00B1111E"/>
    <w:rsid w:val="00B16054"/>
    <w:rsid w:val="00B33F0B"/>
    <w:rsid w:val="00B3735C"/>
    <w:rsid w:val="00B62F04"/>
    <w:rsid w:val="00BB3FFE"/>
    <w:rsid w:val="00BE3C7B"/>
    <w:rsid w:val="00BE4098"/>
    <w:rsid w:val="00C169FE"/>
    <w:rsid w:val="00C200AC"/>
    <w:rsid w:val="00C2500B"/>
    <w:rsid w:val="00C53470"/>
    <w:rsid w:val="00C538D1"/>
    <w:rsid w:val="00C70B83"/>
    <w:rsid w:val="00C81971"/>
    <w:rsid w:val="00C81ED1"/>
    <w:rsid w:val="00C82604"/>
    <w:rsid w:val="00C83874"/>
    <w:rsid w:val="00CA3590"/>
    <w:rsid w:val="00CC2374"/>
    <w:rsid w:val="00CD4C85"/>
    <w:rsid w:val="00CF28AE"/>
    <w:rsid w:val="00D10A57"/>
    <w:rsid w:val="00D10FA1"/>
    <w:rsid w:val="00D4195D"/>
    <w:rsid w:val="00D44113"/>
    <w:rsid w:val="00D44FBC"/>
    <w:rsid w:val="00D469A4"/>
    <w:rsid w:val="00D609CD"/>
    <w:rsid w:val="00D72618"/>
    <w:rsid w:val="00D810BC"/>
    <w:rsid w:val="00D82F92"/>
    <w:rsid w:val="00D9186C"/>
    <w:rsid w:val="00DA123C"/>
    <w:rsid w:val="00DA6974"/>
    <w:rsid w:val="00DC0928"/>
    <w:rsid w:val="00DE2606"/>
    <w:rsid w:val="00E02327"/>
    <w:rsid w:val="00E14531"/>
    <w:rsid w:val="00E15B1D"/>
    <w:rsid w:val="00E3354B"/>
    <w:rsid w:val="00E45944"/>
    <w:rsid w:val="00E47501"/>
    <w:rsid w:val="00E55D3F"/>
    <w:rsid w:val="00E613D0"/>
    <w:rsid w:val="00E63B95"/>
    <w:rsid w:val="00E9368C"/>
    <w:rsid w:val="00EA03F4"/>
    <w:rsid w:val="00EE11DB"/>
    <w:rsid w:val="00EE17A0"/>
    <w:rsid w:val="00EE370A"/>
    <w:rsid w:val="00EF79A6"/>
    <w:rsid w:val="00F06E09"/>
    <w:rsid w:val="00F34E5B"/>
    <w:rsid w:val="00F52820"/>
    <w:rsid w:val="00F60F70"/>
    <w:rsid w:val="00F67482"/>
    <w:rsid w:val="00F84AC2"/>
    <w:rsid w:val="00F9220F"/>
    <w:rsid w:val="00F93508"/>
    <w:rsid w:val="00F94C5E"/>
    <w:rsid w:val="00FA35A5"/>
    <w:rsid w:val="00FE0F93"/>
    <w:rsid w:val="01214DC4"/>
    <w:rsid w:val="01402D88"/>
    <w:rsid w:val="01500520"/>
    <w:rsid w:val="015173CF"/>
    <w:rsid w:val="01C55003"/>
    <w:rsid w:val="03BF4995"/>
    <w:rsid w:val="04071295"/>
    <w:rsid w:val="05754D5E"/>
    <w:rsid w:val="058530B5"/>
    <w:rsid w:val="05FC7E33"/>
    <w:rsid w:val="069946BC"/>
    <w:rsid w:val="07450032"/>
    <w:rsid w:val="07532E8E"/>
    <w:rsid w:val="076D10F6"/>
    <w:rsid w:val="08951137"/>
    <w:rsid w:val="0B6B41CC"/>
    <w:rsid w:val="0D151A88"/>
    <w:rsid w:val="0D7F03FA"/>
    <w:rsid w:val="0D932069"/>
    <w:rsid w:val="0DAF070D"/>
    <w:rsid w:val="0EBD23AD"/>
    <w:rsid w:val="0F9C5C93"/>
    <w:rsid w:val="10164512"/>
    <w:rsid w:val="10985C71"/>
    <w:rsid w:val="10FF3DF1"/>
    <w:rsid w:val="118D5885"/>
    <w:rsid w:val="11A0686D"/>
    <w:rsid w:val="11AA4599"/>
    <w:rsid w:val="158F3058"/>
    <w:rsid w:val="16FF6E95"/>
    <w:rsid w:val="176E1104"/>
    <w:rsid w:val="17716366"/>
    <w:rsid w:val="18B37B50"/>
    <w:rsid w:val="18BA00AC"/>
    <w:rsid w:val="1A4C4F6B"/>
    <w:rsid w:val="1C894DD3"/>
    <w:rsid w:val="1CC418CF"/>
    <w:rsid w:val="1D5B1EF5"/>
    <w:rsid w:val="1D7260B8"/>
    <w:rsid w:val="1E130C2A"/>
    <w:rsid w:val="1E2050CC"/>
    <w:rsid w:val="1E8A71F3"/>
    <w:rsid w:val="1F300468"/>
    <w:rsid w:val="203232B4"/>
    <w:rsid w:val="20453CD5"/>
    <w:rsid w:val="21C204D1"/>
    <w:rsid w:val="24113176"/>
    <w:rsid w:val="242E207B"/>
    <w:rsid w:val="260D0B0E"/>
    <w:rsid w:val="261327F0"/>
    <w:rsid w:val="26A93525"/>
    <w:rsid w:val="270E0F6A"/>
    <w:rsid w:val="27DC55A9"/>
    <w:rsid w:val="2837720B"/>
    <w:rsid w:val="28BF6807"/>
    <w:rsid w:val="29B86116"/>
    <w:rsid w:val="2B366EB1"/>
    <w:rsid w:val="2BD8639C"/>
    <w:rsid w:val="2C692ABE"/>
    <w:rsid w:val="2CA3356F"/>
    <w:rsid w:val="2D1057F2"/>
    <w:rsid w:val="2D3A3827"/>
    <w:rsid w:val="2DE4628D"/>
    <w:rsid w:val="2DEE00BE"/>
    <w:rsid w:val="2EF42BA9"/>
    <w:rsid w:val="2F6D1EC8"/>
    <w:rsid w:val="3093787B"/>
    <w:rsid w:val="31C53198"/>
    <w:rsid w:val="322B25D0"/>
    <w:rsid w:val="343F6738"/>
    <w:rsid w:val="34B63DE9"/>
    <w:rsid w:val="36B70EF1"/>
    <w:rsid w:val="372611FF"/>
    <w:rsid w:val="382526C4"/>
    <w:rsid w:val="38646D52"/>
    <w:rsid w:val="38741523"/>
    <w:rsid w:val="3A2D0B97"/>
    <w:rsid w:val="3AC5663D"/>
    <w:rsid w:val="3AE00874"/>
    <w:rsid w:val="3BE4484F"/>
    <w:rsid w:val="40361A53"/>
    <w:rsid w:val="410E6AA6"/>
    <w:rsid w:val="418207B2"/>
    <w:rsid w:val="41B436A0"/>
    <w:rsid w:val="42D6758F"/>
    <w:rsid w:val="44E13A7C"/>
    <w:rsid w:val="44E71F35"/>
    <w:rsid w:val="45E42472"/>
    <w:rsid w:val="475A7FCB"/>
    <w:rsid w:val="487F56F5"/>
    <w:rsid w:val="48D2689D"/>
    <w:rsid w:val="48DA1851"/>
    <w:rsid w:val="493939CE"/>
    <w:rsid w:val="4A33020D"/>
    <w:rsid w:val="4A685881"/>
    <w:rsid w:val="4ACF0BF7"/>
    <w:rsid w:val="4C5E4268"/>
    <w:rsid w:val="4C94516A"/>
    <w:rsid w:val="4CF40478"/>
    <w:rsid w:val="4D1075B5"/>
    <w:rsid w:val="4DBD4C53"/>
    <w:rsid w:val="4E873B53"/>
    <w:rsid w:val="4F2F6737"/>
    <w:rsid w:val="4F477556"/>
    <w:rsid w:val="4FC94DD2"/>
    <w:rsid w:val="519E65BD"/>
    <w:rsid w:val="521E7917"/>
    <w:rsid w:val="53F14BF5"/>
    <w:rsid w:val="54662BFB"/>
    <w:rsid w:val="550F21A2"/>
    <w:rsid w:val="559F2105"/>
    <w:rsid w:val="56463059"/>
    <w:rsid w:val="564D5067"/>
    <w:rsid w:val="56777A5B"/>
    <w:rsid w:val="571506E3"/>
    <w:rsid w:val="58166B8A"/>
    <w:rsid w:val="586D5D35"/>
    <w:rsid w:val="593D3A47"/>
    <w:rsid w:val="597746F4"/>
    <w:rsid w:val="5A3F4F62"/>
    <w:rsid w:val="5A747D9C"/>
    <w:rsid w:val="5AAE30FF"/>
    <w:rsid w:val="5CBC7857"/>
    <w:rsid w:val="5CC44E18"/>
    <w:rsid w:val="5CEC17E1"/>
    <w:rsid w:val="5E1723EB"/>
    <w:rsid w:val="5E9849FF"/>
    <w:rsid w:val="5EF414DF"/>
    <w:rsid w:val="5EFD29B4"/>
    <w:rsid w:val="5F3708F4"/>
    <w:rsid w:val="60D52294"/>
    <w:rsid w:val="620E51FC"/>
    <w:rsid w:val="668D4C49"/>
    <w:rsid w:val="68467948"/>
    <w:rsid w:val="6B302CC5"/>
    <w:rsid w:val="6B361EDC"/>
    <w:rsid w:val="6C823FE6"/>
    <w:rsid w:val="6CBD756F"/>
    <w:rsid w:val="6DA47C26"/>
    <w:rsid w:val="6DCF1EC3"/>
    <w:rsid w:val="6E2E74FE"/>
    <w:rsid w:val="6E6B62A6"/>
    <w:rsid w:val="6F481792"/>
    <w:rsid w:val="70226693"/>
    <w:rsid w:val="707945F2"/>
    <w:rsid w:val="7089573F"/>
    <w:rsid w:val="71C95B98"/>
    <w:rsid w:val="72A7443A"/>
    <w:rsid w:val="73241C68"/>
    <w:rsid w:val="73FC02D2"/>
    <w:rsid w:val="74207AF5"/>
    <w:rsid w:val="75FE30D7"/>
    <w:rsid w:val="789B29B9"/>
    <w:rsid w:val="792037A4"/>
    <w:rsid w:val="7A0F664D"/>
    <w:rsid w:val="7B8364A3"/>
    <w:rsid w:val="7C841E52"/>
    <w:rsid w:val="7E881360"/>
    <w:rsid w:val="7F13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autoRedefine/>
    <w:qFormat/>
    <w:uiPriority w:val="0"/>
    <w:pPr>
      <w:spacing w:before="100" w:beforeAutospacing="1" w:after="100" w:afterAutospacing="1"/>
      <w:jc w:val="left"/>
      <w:outlineLvl w:val="0"/>
    </w:pPr>
    <w:rPr>
      <w:rFonts w:ascii="宋体" w:hAnsi="宋体"/>
      <w:b/>
      <w:kern w:val="44"/>
      <w:sz w:val="48"/>
      <w:szCs w:val="48"/>
    </w:rPr>
  </w:style>
  <w:style w:type="paragraph" w:styleId="3">
    <w:name w:val="heading 2"/>
    <w:basedOn w:val="1"/>
    <w:next w:val="1"/>
    <w:link w:val="21"/>
    <w:unhideWhenUsed/>
    <w:qFormat/>
    <w:uiPriority w:val="0"/>
    <w:pPr>
      <w:keepNext/>
      <w:keepLines/>
      <w:spacing w:before="120"/>
      <w:outlineLvl w:val="1"/>
    </w:pPr>
    <w:rPr>
      <w:rFonts w:ascii="楷体" w:hAnsi="楷体" w:eastAsia="楷体" w:cstheme="majorBidi"/>
      <w:b/>
      <w:bCs/>
      <w:sz w:val="28"/>
      <w:szCs w:val="32"/>
    </w:rPr>
  </w:style>
  <w:style w:type="paragraph" w:styleId="4">
    <w:name w:val="heading 3"/>
    <w:basedOn w:val="1"/>
    <w:next w:val="1"/>
    <w:autoRedefine/>
    <w:unhideWhenUsed/>
    <w:qFormat/>
    <w:uiPriority w:val="0"/>
    <w:pPr>
      <w:keepNext/>
      <w:keepLines/>
      <w:outlineLvl w:val="2"/>
    </w:pPr>
    <w:rPr>
      <w:b/>
      <w:bCs/>
      <w:sz w:val="28"/>
      <w:szCs w:val="32"/>
    </w:rPr>
  </w:style>
  <w:style w:type="character" w:default="1" w:styleId="12">
    <w:name w:val="Default Paragraph Font"/>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Date"/>
    <w:basedOn w:val="1"/>
    <w:next w:val="1"/>
    <w:link w:val="20"/>
    <w:autoRedefine/>
    <w:qFormat/>
    <w:uiPriority w:val="0"/>
    <w:pPr>
      <w:ind w:left="100" w:leftChars="2500"/>
    </w:pPr>
  </w:style>
  <w:style w:type="paragraph" w:styleId="6">
    <w:name w:val="Balloon Text"/>
    <w:basedOn w:val="1"/>
    <w:link w:val="19"/>
    <w:autoRedefine/>
    <w:unhideWhenUsed/>
    <w:qFormat/>
    <w:uiPriority w:val="0"/>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0"/>
    <w:rPr>
      <w:color w:val="0000FF"/>
      <w:u w:val="single"/>
    </w:rPr>
  </w:style>
  <w:style w:type="character" w:customStyle="1" w:styleId="14">
    <w:name w:val="标题 1 Char"/>
    <w:basedOn w:val="12"/>
    <w:autoRedefine/>
    <w:qFormat/>
    <w:uiPriority w:val="0"/>
    <w:rPr>
      <w:rFonts w:ascii="Times New Roman" w:hAnsi="Times New Roman" w:eastAsia="宋体" w:cs="Times New Roman"/>
      <w:b/>
      <w:bCs/>
      <w:kern w:val="44"/>
      <w:sz w:val="44"/>
      <w:szCs w:val="44"/>
    </w:rPr>
  </w:style>
  <w:style w:type="character" w:customStyle="1" w:styleId="15">
    <w:name w:val="标题 1 Char1"/>
    <w:link w:val="2"/>
    <w:autoRedefine/>
    <w:qFormat/>
    <w:uiPriority w:val="0"/>
    <w:rPr>
      <w:rFonts w:ascii="宋体" w:hAnsi="宋体" w:eastAsia="宋体" w:cs="Times New Roman"/>
      <w:b/>
      <w:kern w:val="44"/>
      <w:sz w:val="48"/>
      <w:szCs w:val="48"/>
    </w:rPr>
  </w:style>
  <w:style w:type="paragraph" w:customStyle="1" w:styleId="16">
    <w:name w:val="列出段落2"/>
    <w:basedOn w:val="1"/>
    <w:autoRedefine/>
    <w:unhideWhenUsed/>
    <w:qFormat/>
    <w:uiPriority w:val="0"/>
    <w:pPr>
      <w:ind w:firstLine="420" w:firstLineChars="200"/>
    </w:pPr>
  </w:style>
  <w:style w:type="character" w:customStyle="1" w:styleId="17">
    <w:name w:val="页眉 Char"/>
    <w:basedOn w:val="12"/>
    <w:link w:val="8"/>
    <w:autoRedefine/>
    <w:qFormat/>
    <w:uiPriority w:val="0"/>
    <w:rPr>
      <w:rFonts w:ascii="Times New Roman" w:hAnsi="Times New Roman" w:eastAsia="宋体" w:cs="Times New Roman"/>
      <w:sz w:val="18"/>
      <w:szCs w:val="18"/>
    </w:rPr>
  </w:style>
  <w:style w:type="character" w:customStyle="1" w:styleId="18">
    <w:name w:val="页脚 Char"/>
    <w:basedOn w:val="12"/>
    <w:link w:val="7"/>
    <w:autoRedefine/>
    <w:qFormat/>
    <w:uiPriority w:val="99"/>
    <w:rPr>
      <w:rFonts w:ascii="Times New Roman" w:hAnsi="Times New Roman" w:eastAsia="宋体" w:cs="Times New Roman"/>
      <w:sz w:val="18"/>
      <w:szCs w:val="18"/>
    </w:rPr>
  </w:style>
  <w:style w:type="character" w:customStyle="1" w:styleId="19">
    <w:name w:val="批注框文本 Char"/>
    <w:basedOn w:val="12"/>
    <w:link w:val="6"/>
    <w:autoRedefine/>
    <w:semiHidden/>
    <w:qFormat/>
    <w:uiPriority w:val="0"/>
    <w:rPr>
      <w:rFonts w:ascii="Times New Roman" w:hAnsi="Times New Roman" w:eastAsia="宋体" w:cs="Times New Roman"/>
      <w:sz w:val="18"/>
      <w:szCs w:val="18"/>
    </w:rPr>
  </w:style>
  <w:style w:type="character" w:customStyle="1" w:styleId="20">
    <w:name w:val="日期 Char"/>
    <w:basedOn w:val="12"/>
    <w:link w:val="5"/>
    <w:autoRedefine/>
    <w:qFormat/>
    <w:uiPriority w:val="0"/>
    <w:rPr>
      <w:rFonts w:ascii="Times New Roman" w:hAnsi="Times New Roman" w:eastAsia="宋体" w:cs="Times New Roman"/>
      <w:szCs w:val="21"/>
    </w:rPr>
  </w:style>
  <w:style w:type="character" w:customStyle="1" w:styleId="21">
    <w:name w:val="标题 2 Char"/>
    <w:link w:val="3"/>
    <w:autoRedefine/>
    <w:qFormat/>
    <w:uiPriority w:val="0"/>
    <w:rPr>
      <w:rFonts w:ascii="楷体" w:hAnsi="楷体" w:eastAsia="楷体" w:cstheme="majorBidi"/>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solidFill>
                <a:schemeClr val="accent5">
                  <a:lumMod val="60000"/>
                  <a:lumOff val="40000"/>
                </a:schemeClr>
              </a:solidFill>
            </a:ln>
            <a:effectLst/>
          </c:spPr>
          <c:invertIfNegative val="0"/>
          <c:dPt>
            <c:idx val="0"/>
            <c:invertIfNegative val="0"/>
            <c:bubble3D val="0"/>
            <c:spPr>
              <a:solidFill>
                <a:schemeClr val="accent5"/>
              </a:solidFill>
              <a:ln>
                <a:solidFill>
                  <a:schemeClr val="accent5">
                    <a:lumMod val="60000"/>
                    <a:lumOff val="40000"/>
                  </a:schemeClr>
                </a:solidFill>
              </a:ln>
              <a:effectLst/>
            </c:spPr>
          </c:dPt>
          <c:dPt>
            <c:idx val="1"/>
            <c:invertIfNegative val="0"/>
            <c:bubble3D val="0"/>
            <c:spPr>
              <a:solidFill>
                <a:schemeClr val="accent5"/>
              </a:solidFill>
              <a:ln>
                <a:solidFill>
                  <a:schemeClr val="accent5">
                    <a:lumMod val="60000"/>
                    <a:lumOff val="40000"/>
                  </a:schemeClr>
                </a:solidFill>
              </a:ln>
              <a:effectLst/>
            </c:spPr>
          </c:dPt>
          <c:dPt>
            <c:idx val="2"/>
            <c:invertIfNegative val="0"/>
            <c:bubble3D val="0"/>
            <c:spPr>
              <a:solidFill>
                <a:schemeClr val="accent5"/>
              </a:solidFill>
              <a:ln>
                <a:solidFill>
                  <a:schemeClr val="accent5">
                    <a:lumMod val="60000"/>
                    <a:lumOff val="40000"/>
                  </a:schemeClr>
                </a:solidFill>
              </a:ln>
              <a:effectLst/>
            </c:spPr>
          </c:dPt>
          <c:dLbls>
            <c:delete val="1"/>
          </c:dLbls>
          <c:cat>
            <c:strRef>
              <c:f>Sheet1!$A$2:$A$4</c:f>
              <c:strCache>
                <c:ptCount val="3"/>
                <c:pt idx="0">
                  <c:v>招生数（人）</c:v>
                </c:pt>
                <c:pt idx="1">
                  <c:v>在校生数（人）</c:v>
                </c:pt>
                <c:pt idx="2">
                  <c:v>毕业生数（人）</c:v>
                </c:pt>
              </c:strCache>
            </c:strRef>
          </c:cat>
          <c:val>
            <c:numRef>
              <c:f>Sheet1!$B$2:$B$4</c:f>
              <c:numCache>
                <c:formatCode>General</c:formatCode>
                <c:ptCount val="3"/>
                <c:pt idx="0">
                  <c:v>796</c:v>
                </c:pt>
                <c:pt idx="1">
                  <c:v>1990</c:v>
                </c:pt>
                <c:pt idx="2">
                  <c:v>585</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Sheet1!$A$2:$A$4</c:f>
              <c:strCache>
                <c:ptCount val="3"/>
                <c:pt idx="0">
                  <c:v>招生数（人）</c:v>
                </c:pt>
                <c:pt idx="1">
                  <c:v>在校生数（人）</c:v>
                </c:pt>
                <c:pt idx="2">
                  <c:v>毕业生数（人）</c:v>
                </c:pt>
              </c:strCache>
            </c:strRef>
          </c:cat>
          <c:val>
            <c:numRef>
              <c:f>Sheet1!$C$2:$C$4</c:f>
              <c:numCache>
                <c:formatCode>General</c:formatCode>
                <c:ptCount val="3"/>
                <c:pt idx="0">
                  <c:v>767</c:v>
                </c:pt>
                <c:pt idx="1">
                  <c:v>2185</c:v>
                </c:pt>
                <c:pt idx="2">
                  <c:v>517</c:v>
                </c:pt>
              </c:numCache>
            </c:numRef>
          </c:val>
        </c:ser>
        <c:dLbls>
          <c:showLegendKey val="0"/>
          <c:showVal val="0"/>
          <c:showCatName val="0"/>
          <c:showSerName val="0"/>
          <c:showPercent val="0"/>
          <c:showBubbleSize val="0"/>
        </c:dLbls>
        <c:gapWidth val="300"/>
        <c:axId val="-1871702800"/>
        <c:axId val="-1871696816"/>
      </c:barChart>
      <c:catAx>
        <c:axId val="-187170280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图</a:t>
                </a:r>
                <a:r>
                  <a:rPr lang="en-US" altLang="zh-CN"/>
                  <a:t>1-2</a:t>
                </a:r>
                <a:r>
                  <a:rPr lang="zh-CN" altLang="en-US"/>
                  <a:t>   学生情况统计表</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696816"/>
        <c:crosses val="autoZero"/>
        <c:auto val="1"/>
        <c:lblAlgn val="ctr"/>
        <c:lblOffset val="100"/>
        <c:noMultiLvlLbl val="0"/>
      </c:catAx>
      <c:valAx>
        <c:axId val="-187169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28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双证书合格率</c:v>
                </c:pt>
                <c:pt idx="4">
                  <c:v>毕业率</c:v>
                </c:pt>
              </c:strCache>
            </c:strRef>
          </c:cat>
          <c:val>
            <c:numRef>
              <c:f>Sheet1!$B$2:$B$6</c:f>
              <c:numCache>
                <c:formatCode>0%</c:formatCode>
                <c:ptCount val="5"/>
                <c:pt idx="0">
                  <c:v>0.99</c:v>
                </c:pt>
                <c:pt idx="1">
                  <c:v>0.94</c:v>
                </c:pt>
                <c:pt idx="2">
                  <c:v>1</c:v>
                </c:pt>
                <c:pt idx="3">
                  <c:v>0.52</c:v>
                </c:pt>
                <c:pt idx="4">
                  <c:v>1</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双证书合格率</c:v>
                </c:pt>
                <c:pt idx="4">
                  <c:v>毕业率</c:v>
                </c:pt>
              </c:strCache>
            </c:strRef>
          </c:cat>
          <c:val>
            <c:numRef>
              <c:f>Sheet1!$C$2:$C$6</c:f>
              <c:numCache>
                <c:formatCode>0%</c:formatCode>
                <c:ptCount val="5"/>
                <c:pt idx="0">
                  <c:v>0.99</c:v>
                </c:pt>
                <c:pt idx="1" c:formatCode="0.00%">
                  <c:v>0.9006</c:v>
                </c:pt>
                <c:pt idx="2" c:formatCode="0.00%">
                  <c:v>1</c:v>
                </c:pt>
                <c:pt idx="3" c:formatCode="0.00%">
                  <c:v>0.41</c:v>
                </c:pt>
                <c:pt idx="4">
                  <c:v>1</c:v>
                </c:pt>
              </c:numCache>
            </c:numRef>
          </c:val>
        </c:ser>
        <c:dLbls>
          <c:showLegendKey val="0"/>
          <c:showVal val="1"/>
          <c:showCatName val="0"/>
          <c:showSerName val="0"/>
          <c:showPercent val="0"/>
          <c:showBubbleSize val="0"/>
        </c:dLbls>
        <c:gapWidth val="219"/>
        <c:overlap val="-27"/>
        <c:axId val="-1871703344"/>
        <c:axId val="-1871702256"/>
      </c:barChart>
      <c:catAx>
        <c:axId val="-18717033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图</a:t>
                </a:r>
                <a:r>
                  <a:rPr lang="en-US" altLang="zh-CN"/>
                  <a:t>2-1  </a:t>
                </a:r>
                <a:r>
                  <a:rPr lang="zh-CN" altLang="en-US"/>
                  <a:t>学生基本素质评价指标统计表</a:t>
                </a:r>
                <a:endParaRPr lang="zh-CN" altLang="en-US"/>
              </a:p>
            </c:rich>
          </c:tx>
          <c:layout>
            <c:manualLayout>
              <c:xMode val="edge"/>
              <c:yMode val="edge"/>
              <c:x val="0.281386154855643"/>
              <c:y val="0.920634920634921"/>
            </c:manualLayout>
          </c:layout>
          <c:overlay val="0"/>
          <c:spPr>
            <a:noFill/>
            <a:ln>
              <a:noFill/>
            </a:ln>
            <a:effectLst/>
          </c:spPr>
        </c:title>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2256"/>
        <c:crosses val="autoZero"/>
        <c:auto val="1"/>
        <c:lblAlgn val="ctr"/>
        <c:lblOffset val="100"/>
        <c:noMultiLvlLbl val="0"/>
      </c:catAx>
      <c:valAx>
        <c:axId val="-187170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bg2"/>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33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优秀（%）</c:v>
                </c:pt>
                <c:pt idx="1">
                  <c:v>合格（%）</c:v>
                </c:pt>
                <c:pt idx="2">
                  <c:v>不合格（%）</c:v>
                </c:pt>
              </c:strCache>
            </c:strRef>
          </c:cat>
          <c:val>
            <c:numRef>
              <c:f>Sheet1!$B$2:$B$4</c:f>
              <c:numCache>
                <c:formatCode>0%</c:formatCode>
                <c:ptCount val="3"/>
                <c:pt idx="0">
                  <c:v>0.33</c:v>
                </c:pt>
                <c:pt idx="1">
                  <c:v>0.67</c:v>
                </c:pt>
                <c:pt idx="2">
                  <c:v>0</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优秀（%）</c:v>
                </c:pt>
                <c:pt idx="1">
                  <c:v>合格（%）</c:v>
                </c:pt>
                <c:pt idx="2">
                  <c:v>不合格（%）</c:v>
                </c:pt>
              </c:strCache>
            </c:strRef>
          </c:cat>
          <c:val>
            <c:numRef>
              <c:f>Sheet1!$C$2:$C$4</c:f>
              <c:numCache>
                <c:formatCode>0%</c:formatCode>
                <c:ptCount val="3"/>
                <c:pt idx="0">
                  <c:v>0.32</c:v>
                </c:pt>
                <c:pt idx="1">
                  <c:v>0.68</c:v>
                </c:pt>
                <c:pt idx="2">
                  <c:v>0</c:v>
                </c:pt>
              </c:numCache>
            </c:numRef>
          </c:val>
        </c:ser>
        <c:dLbls>
          <c:showLegendKey val="0"/>
          <c:showVal val="1"/>
          <c:showCatName val="0"/>
          <c:showSerName val="0"/>
          <c:showPercent val="0"/>
          <c:showBubbleSize val="0"/>
        </c:dLbls>
        <c:gapWidth val="219"/>
        <c:overlap val="-27"/>
        <c:axId val="-1871697360"/>
        <c:axId val="-1871708240"/>
      </c:barChart>
      <c:catAx>
        <c:axId val="-187169736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教师教学质量考核统计表</a:t>
                </a:r>
                <a:endParaRPr lang="zh-CN" altLang="en-US"/>
              </a:p>
            </c:rich>
          </c:tx>
          <c:layout>
            <c:manualLayout>
              <c:xMode val="edge"/>
              <c:yMode val="edge"/>
              <c:x val="0.326710228929717"/>
              <c:y val="0.924603174603175"/>
            </c:manualLayout>
          </c:layout>
          <c:overlay val="0"/>
          <c:spPr>
            <a:noFill/>
            <a:ln>
              <a:noFill/>
            </a:ln>
            <a:effectLst/>
          </c:spPr>
        </c:title>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8240"/>
        <c:crosses val="autoZero"/>
        <c:auto val="1"/>
        <c:lblAlgn val="ctr"/>
        <c:lblOffset val="100"/>
        <c:noMultiLvlLbl val="0"/>
      </c:catAx>
      <c:valAx>
        <c:axId val="-1871708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6973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zh-CN" sz="1400" b="0" i="0" u="none" strike="noStrike" kern="1200" spc="0" baseline="0">
                <a:solidFill>
                  <a:sysClr val="windowText" lastClr="000000">
                    <a:lumMod val="65000"/>
                    <a:lumOff val="35000"/>
                  </a:sysClr>
                </a:solidFill>
                <a:latin typeface="+mn-lt"/>
                <a:ea typeface="+mn-ea"/>
                <a:cs typeface="+mn-cs"/>
              </a:defRPr>
            </a:pPr>
            <a:r>
              <a:rPr lang="zh-CN" altLang="zh-CN" sz="1400">
                <a:effectLst/>
              </a:rPr>
              <a:t>培训服务情况统计表</a:t>
            </a:r>
            <a:endParaRPr lang="zh-CN" altLang="zh-CN" sz="1400">
              <a:effectLst/>
            </a:endParaRPr>
          </a:p>
        </c:rich>
      </c:tx>
      <c:layout/>
      <c:overlay val="0"/>
      <c:spPr>
        <a:noFill/>
        <a:ln>
          <a:noFill/>
        </a:ln>
        <a:effectLst/>
      </c:spPr>
    </c:title>
    <c:autoTitleDeleted val="0"/>
    <c:plotArea>
      <c:layout/>
      <c:pieChart>
        <c:varyColors val="1"/>
        <c:ser>
          <c:idx val="0"/>
          <c:order val="0"/>
          <c:tx>
            <c:strRef>
              <c:f>Sheet1!$B$1</c:f>
              <c:strCache>
                <c:ptCount val="1"/>
                <c:pt idx="0">
                  <c:v>服务人次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幼儿照护</c:v>
                </c:pt>
                <c:pt idx="1">
                  <c:v>运动营养</c:v>
                </c:pt>
                <c:pt idx="2">
                  <c:v>退役军人</c:v>
                </c:pt>
                <c:pt idx="3">
                  <c:v>厨师</c:v>
                </c:pt>
                <c:pt idx="4">
                  <c:v>焊工</c:v>
                </c:pt>
              </c:strCache>
            </c:strRef>
          </c:cat>
          <c:val>
            <c:numRef>
              <c:f>Sheet1!$B$2:$B$6</c:f>
              <c:numCache>
                <c:formatCode>General</c:formatCode>
                <c:ptCount val="5"/>
                <c:pt idx="0">
                  <c:v>133</c:v>
                </c:pt>
                <c:pt idx="1">
                  <c:v>75</c:v>
                </c:pt>
                <c:pt idx="2">
                  <c:v>40</c:v>
                </c:pt>
                <c:pt idx="3">
                  <c:v>44</c:v>
                </c:pt>
                <c:pt idx="4">
                  <c:v>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31</Pages>
  <Words>3781</Words>
  <Characters>21553</Characters>
  <Lines>179</Lines>
  <Paragraphs>50</Paragraphs>
  <TotalTime>90</TotalTime>
  <ScaleCrop>false</ScaleCrop>
  <LinksUpToDate>false</LinksUpToDate>
  <CharactersWithSpaces>25284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2020-03-16T02:08:00Z</dcterms:created>
  <dc:creator>郭自强</dc:creator>
  <cp:lastModifiedBy>Administrator</cp:lastModifiedBy>
  <cp:lastPrinted>2021-12-01T00:27:00Z</cp:lastPrinted>
  <dcterms:modified xsi:type="dcterms:W3CDTF">2024-03-22T09:08:10Z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A54F555F73124A57BEB2251CB6154208_13</vt:lpwstr>
  </property>
</Properties>
</file>